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C794" w14:textId="77777777" w:rsidR="00EB21B1" w:rsidRPr="00EB21B1" w:rsidRDefault="00EB21B1" w:rsidP="00EB21B1">
      <w:pPr>
        <w:spacing w:after="0" w:line="240" w:lineRule="auto"/>
        <w:contextualSpacing/>
        <w:jc w:val="center"/>
        <w:rPr>
          <w:rFonts w:ascii="Calibri" w:eastAsia="Calibri" w:hAnsi="Calibri" w:cs="Times New Roman"/>
          <w:sz w:val="24"/>
          <w:lang w:bidi="en-US"/>
        </w:rPr>
      </w:pPr>
      <w:r w:rsidRPr="00EB21B1">
        <w:rPr>
          <w:rFonts w:ascii="Calibri" w:eastAsia="Calibri" w:hAnsi="Calibri" w:cs="Times New Roman"/>
          <w:noProof/>
          <w:sz w:val="24"/>
          <w:lang w:bidi="en-US"/>
        </w:rPr>
        <w:drawing>
          <wp:inline distT="0" distB="0" distL="0" distR="0" wp14:anchorId="348ACE7F" wp14:editId="4C20B833">
            <wp:extent cx="2705100" cy="2286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45CB8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6055E485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5A2CAED0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7F3B3BFF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1E79AF0F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3D3D8B05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7D0B1DF9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2E89CD86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779E4F17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0F4D1527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1B312CF2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48960719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3E9B12FD" w14:textId="1AEAE052" w:rsid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3FAC79E3" w14:textId="3853DB63" w:rsid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5E3443A2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  <w:r w:rsidRPr="00EB21B1">
        <w:rPr>
          <w:rFonts w:ascii="Calibri" w:eastAsia="Calibri" w:hAnsi="Calibri" w:cs="Times New Roman"/>
          <w:sz w:val="48"/>
          <w:szCs w:val="48"/>
          <w:lang w:bidi="en-US"/>
        </w:rPr>
        <w:t>Appeal Policy</w:t>
      </w:r>
    </w:p>
    <w:p w14:paraId="161381E2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lang w:bidi="en-US"/>
        </w:rPr>
      </w:pPr>
    </w:p>
    <w:tbl>
      <w:tblPr>
        <w:tblStyle w:val="TableGrid"/>
        <w:tblW w:w="10208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</w:tblGrid>
      <w:tr w:rsidR="00EB21B1" w:rsidRPr="00EB21B1" w14:paraId="61F274FA" w14:textId="77777777" w:rsidTr="003B52A6">
        <w:tc>
          <w:tcPr>
            <w:tcW w:w="10208" w:type="dxa"/>
            <w:gridSpan w:val="4"/>
            <w:shd w:val="clear" w:color="auto" w:fill="D9D9D9" w:themeFill="background1" w:themeFillShade="D9"/>
          </w:tcPr>
          <w:p w14:paraId="056A8163" w14:textId="77777777" w:rsidR="00EB21B1" w:rsidRPr="00EB21B1" w:rsidRDefault="00EB21B1" w:rsidP="00EB21B1">
            <w:pPr>
              <w:rPr>
                <w:rFonts w:cstheme="minorHAnsi"/>
                <w:b/>
                <w:color w:val="000000"/>
              </w:rPr>
            </w:pPr>
            <w:r w:rsidRPr="00EB21B1">
              <w:rPr>
                <w:rFonts w:cstheme="minorHAnsi"/>
                <w:b/>
                <w:color w:val="000000"/>
              </w:rPr>
              <w:t>Policy History</w:t>
            </w:r>
          </w:p>
        </w:tc>
      </w:tr>
      <w:tr w:rsidR="00EB21B1" w:rsidRPr="00EB21B1" w14:paraId="3D4C7B78" w14:textId="77777777" w:rsidTr="003B52A6">
        <w:tc>
          <w:tcPr>
            <w:tcW w:w="2552" w:type="dxa"/>
          </w:tcPr>
          <w:p w14:paraId="2D7E75A3" w14:textId="77777777" w:rsidR="00EB21B1" w:rsidRPr="00EB21B1" w:rsidRDefault="00EB21B1" w:rsidP="00EB21B1">
            <w:pPr>
              <w:rPr>
                <w:rFonts w:cstheme="minorHAnsi"/>
                <w:color w:val="000000"/>
              </w:rPr>
            </w:pPr>
            <w:r w:rsidRPr="00EB21B1">
              <w:rPr>
                <w:rFonts w:cstheme="minorHAnsi"/>
                <w:color w:val="000000"/>
                <w:lang w:bidi="en-US"/>
              </w:rPr>
              <w:t>Approved</w:t>
            </w:r>
          </w:p>
        </w:tc>
        <w:tc>
          <w:tcPr>
            <w:tcW w:w="2552" w:type="dxa"/>
          </w:tcPr>
          <w:p w14:paraId="6773A762" w14:textId="1DF75D7D" w:rsidR="00EB21B1" w:rsidRPr="00EB21B1" w:rsidRDefault="00E1023E" w:rsidP="00EB21B1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  <w:lang w:bidi="en-US"/>
              </w:rPr>
              <w:t xml:space="preserve">December </w:t>
            </w:r>
            <w:r w:rsidR="008F3469">
              <w:rPr>
                <w:rFonts w:cstheme="minorHAnsi"/>
                <w:color w:val="000000"/>
                <w:lang w:bidi="en-US"/>
              </w:rPr>
              <w:t>15</w:t>
            </w:r>
            <w:r w:rsidR="00EB21B1" w:rsidRPr="00EB21B1">
              <w:rPr>
                <w:rFonts w:cstheme="minorHAnsi"/>
                <w:color w:val="000000"/>
                <w:lang w:bidi="en-US"/>
              </w:rPr>
              <w:t>, 2021</w:t>
            </w:r>
          </w:p>
        </w:tc>
        <w:tc>
          <w:tcPr>
            <w:tcW w:w="2552" w:type="dxa"/>
          </w:tcPr>
          <w:p w14:paraId="5AE94B24" w14:textId="77777777" w:rsidR="00EB21B1" w:rsidRPr="00EB21B1" w:rsidRDefault="00EB21B1" w:rsidP="00EB21B1">
            <w:pPr>
              <w:rPr>
                <w:rFonts w:cstheme="minorHAnsi"/>
                <w:b/>
                <w:color w:val="000000"/>
              </w:rPr>
            </w:pPr>
            <w:r w:rsidRPr="00EB21B1">
              <w:rPr>
                <w:rFonts w:cstheme="minorHAnsi"/>
                <w:color w:val="000000"/>
                <w:lang w:bidi="en-US"/>
              </w:rPr>
              <w:t>Next Review Date</w:t>
            </w:r>
          </w:p>
        </w:tc>
        <w:tc>
          <w:tcPr>
            <w:tcW w:w="2552" w:type="dxa"/>
          </w:tcPr>
          <w:p w14:paraId="42F49D89" w14:textId="6607605F" w:rsidR="00EB21B1" w:rsidRPr="00EB21B1" w:rsidRDefault="00090F0C" w:rsidP="00EB21B1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  <w:lang w:bidi="en-US"/>
              </w:rPr>
              <w:t xml:space="preserve">December </w:t>
            </w:r>
            <w:r w:rsidR="00EB21B1" w:rsidRPr="00EB21B1">
              <w:rPr>
                <w:rFonts w:cstheme="minorHAnsi"/>
                <w:color w:val="000000"/>
                <w:lang w:bidi="en-US"/>
              </w:rPr>
              <w:t>31, 2023</w:t>
            </w:r>
          </w:p>
        </w:tc>
      </w:tr>
    </w:tbl>
    <w:p w14:paraId="3A29773F" w14:textId="77777777" w:rsidR="00EB21B1" w:rsidRPr="00EB21B1" w:rsidRDefault="00EB21B1" w:rsidP="00EB21B1">
      <w:pPr>
        <w:spacing w:after="0" w:line="240" w:lineRule="auto"/>
        <w:rPr>
          <w:rFonts w:eastAsia="Times New Roman" w:cs="Times New Roman"/>
          <w:b/>
          <w:bCs/>
          <w:caps/>
          <w:lang w:eastAsia="x-none" w:bidi="en-US"/>
        </w:rPr>
        <w:sectPr w:rsidR="00EB21B1" w:rsidRPr="00EB21B1" w:rsidSect="007718D8">
          <w:headerReference w:type="default" r:id="rId8"/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3D07EC1" w14:textId="77777777" w:rsidR="00EB21B1" w:rsidRPr="004C1E12" w:rsidRDefault="00EB21B1" w:rsidP="004C1E12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x-none"/>
        </w:rPr>
      </w:pPr>
      <w:r w:rsidRPr="004C1E12">
        <w:rPr>
          <w:rFonts w:eastAsia="Times New Roman" w:cstheme="minorHAnsi"/>
          <w:b/>
          <w:bCs/>
          <w:sz w:val="24"/>
          <w:szCs w:val="24"/>
          <w:u w:val="single"/>
          <w:lang w:eastAsia="x-none"/>
        </w:rPr>
        <w:lastRenderedPageBreak/>
        <w:t>Introduction</w:t>
      </w:r>
    </w:p>
    <w:p w14:paraId="509BAE45" w14:textId="68510F49" w:rsidR="00EB21B1" w:rsidRPr="00EB21B1" w:rsidRDefault="001A0D43" w:rsidP="00EB21B1">
      <w:pPr>
        <w:jc w:val="both"/>
        <w:rPr>
          <w:rFonts w:eastAsia="Times New Roman" w:cstheme="minorHAnsi"/>
        </w:rPr>
      </w:pPr>
      <w:r w:rsidRPr="00EB21B1">
        <w:rPr>
          <w:rFonts w:eastAsia="Calibri" w:cstheme="minorHAnsi"/>
          <w:lang w:val="en-US" w:bidi="en-US"/>
        </w:rPr>
        <w:t>Friends of the World Cup of Wrestling Society (FWCWS)</w:t>
      </w:r>
      <w:r w:rsidR="00EB21B1" w:rsidRPr="00EB21B1">
        <w:rPr>
          <w:rFonts w:eastAsia="Calibri" w:cstheme="minorHAnsi"/>
          <w:lang w:bidi="en-US"/>
        </w:rPr>
        <w:t xml:space="preserve"> is committed to providing an environment in which all Members and other Individuals involved with </w:t>
      </w:r>
      <w:r w:rsidR="00EB21B1" w:rsidRPr="00EB21B1">
        <w:rPr>
          <w:rFonts w:eastAsia="Calibri" w:cstheme="minorHAnsi"/>
          <w:color w:val="000000"/>
          <w:lang w:bidi="en-US"/>
        </w:rPr>
        <w:t>the organizations</w:t>
      </w:r>
      <w:r w:rsidR="00EB21B1" w:rsidRPr="00EB21B1">
        <w:rPr>
          <w:rFonts w:eastAsia="Calibri" w:cstheme="minorHAnsi"/>
          <w:lang w:bidi="en-US"/>
        </w:rPr>
        <w:t xml:space="preserve"> are treated with respect and fairness. </w:t>
      </w:r>
      <w:r w:rsidR="00EB21B1" w:rsidRPr="00EB21B1">
        <w:rPr>
          <w:rFonts w:eastAsia="Calibri" w:cstheme="minorHAnsi"/>
          <w:color w:val="000000"/>
          <w:lang w:bidi="en-US"/>
        </w:rPr>
        <w:t xml:space="preserve">FWCWS </w:t>
      </w:r>
      <w:r w:rsidR="00EB21B1" w:rsidRPr="00EB21B1">
        <w:rPr>
          <w:rFonts w:eastAsia="Calibri" w:cstheme="minorHAnsi"/>
          <w:lang w:bidi="en-US"/>
        </w:rPr>
        <w:t xml:space="preserve">provides Members and </w:t>
      </w:r>
      <w:r w:rsidR="006F2E4B">
        <w:rPr>
          <w:rFonts w:eastAsia="Calibri" w:cstheme="minorHAnsi"/>
          <w:lang w:bidi="en-US"/>
        </w:rPr>
        <w:t>Others</w:t>
      </w:r>
      <w:r w:rsidR="00EB21B1" w:rsidRPr="00EB21B1">
        <w:rPr>
          <w:rFonts w:eastAsia="Calibri" w:cstheme="minorHAnsi"/>
          <w:lang w:bidi="en-US"/>
        </w:rPr>
        <w:t xml:space="preserve"> with this Appeal Policy to enable fair, affordable, and expedient appeals of certain decisions made by </w:t>
      </w:r>
      <w:r w:rsidR="00EB21B1" w:rsidRPr="00EB21B1">
        <w:rPr>
          <w:rFonts w:eastAsia="Calibri" w:cstheme="minorHAnsi"/>
          <w:color w:val="000000"/>
          <w:lang w:bidi="en-US"/>
        </w:rPr>
        <w:t>FWCWS</w:t>
      </w:r>
      <w:r w:rsidR="00EB21B1" w:rsidRPr="00EB21B1">
        <w:rPr>
          <w:rFonts w:eastAsia="Calibri" w:cstheme="minorHAnsi"/>
          <w:lang w:bidi="en-US"/>
        </w:rPr>
        <w:t xml:space="preserve">. </w:t>
      </w:r>
      <w:r w:rsidR="006F2E4B">
        <w:rPr>
          <w:rFonts w:eastAsia="Calibri" w:cstheme="minorHAnsi"/>
          <w:lang w:bidi="en-US"/>
        </w:rPr>
        <w:t xml:space="preserve"> </w:t>
      </w:r>
      <w:r w:rsidR="00EB21B1" w:rsidRPr="00EB21B1">
        <w:rPr>
          <w:rFonts w:eastAsia="Calibri" w:cstheme="minorHAnsi"/>
          <w:lang w:bidi="en-US"/>
        </w:rPr>
        <w:t xml:space="preserve">Further, decisions made by the process outlined in </w:t>
      </w:r>
      <w:r w:rsidR="00EB21B1" w:rsidRPr="00EB21B1">
        <w:rPr>
          <w:rFonts w:eastAsia="Calibri" w:cstheme="minorHAnsi"/>
          <w:color w:val="000000"/>
          <w:lang w:bidi="en-US"/>
        </w:rPr>
        <w:t xml:space="preserve">the FWCWS Complaints and </w:t>
      </w:r>
      <w:r w:rsidR="00EB21B1" w:rsidRPr="00EB21B1">
        <w:rPr>
          <w:rFonts w:eastAsia="Calibri" w:cstheme="minorHAnsi"/>
          <w:lang w:bidi="en-US"/>
        </w:rPr>
        <w:t>Discipline Policy may be appealed under this Policy.</w:t>
      </w:r>
    </w:p>
    <w:p w14:paraId="7F796614" w14:textId="77777777" w:rsidR="00EB21B1" w:rsidRPr="004C1E12" w:rsidRDefault="00EB21B1" w:rsidP="004C1E12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x-none"/>
        </w:rPr>
      </w:pPr>
      <w:r w:rsidRPr="004C1E12">
        <w:rPr>
          <w:rFonts w:eastAsia="Times New Roman" w:cstheme="minorHAnsi"/>
          <w:b/>
          <w:bCs/>
          <w:sz w:val="24"/>
          <w:szCs w:val="24"/>
          <w:u w:val="single"/>
          <w:lang w:eastAsia="x-none"/>
        </w:rPr>
        <w:t>Definitions</w:t>
      </w:r>
    </w:p>
    <w:p w14:paraId="6F4E0560" w14:textId="77777777" w:rsidR="00EB21B1" w:rsidRPr="00EB21B1" w:rsidRDefault="00EB21B1" w:rsidP="00EB21B1">
      <w:pPr>
        <w:ind w:left="1"/>
        <w:jc w:val="both"/>
        <w:rPr>
          <w:rFonts w:ascii="Calibri" w:eastAsia="Calibri" w:hAnsi="Calibri" w:cs="Calibri"/>
          <w:color w:val="000000"/>
          <w:lang w:eastAsia="en-CA"/>
        </w:rPr>
      </w:pPr>
      <w:r w:rsidRPr="00EB21B1">
        <w:rPr>
          <w:rFonts w:ascii="Calibri" w:eastAsia="Calibri" w:hAnsi="Calibri" w:cs="Calibri"/>
          <w:color w:val="000000"/>
          <w:lang w:eastAsia="en-CA"/>
        </w:rPr>
        <w:t xml:space="preserve">The following terms have these meanings in this Policy: </w:t>
      </w:r>
    </w:p>
    <w:p w14:paraId="1F31144F" w14:textId="77777777" w:rsidR="00EB21B1" w:rsidRPr="00EB21B1" w:rsidRDefault="00EB21B1" w:rsidP="00EB21B1">
      <w:pPr>
        <w:ind w:left="2268" w:hanging="2268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>Affected Parties</w:t>
      </w:r>
      <w:r w:rsidRPr="00EB21B1">
        <w:rPr>
          <w:rFonts w:eastAsia="Calibri" w:cstheme="minorHAnsi"/>
          <w:lang w:bidi="en-US"/>
        </w:rPr>
        <w:tab/>
        <w:t>Includes any parties that may be affected by the decision and outcome of the Appeal.</w:t>
      </w:r>
    </w:p>
    <w:p w14:paraId="38E4EBD9" w14:textId="0F494255" w:rsidR="00EB21B1" w:rsidRPr="00EB21B1" w:rsidRDefault="00EB21B1" w:rsidP="00EB21B1">
      <w:pPr>
        <w:ind w:left="2268" w:hanging="2268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>Affiliates</w:t>
      </w:r>
      <w:r w:rsidRPr="00EB21B1">
        <w:rPr>
          <w:rFonts w:eastAsia="Calibri" w:cstheme="minorHAnsi"/>
          <w:lang w:bidi="en-US"/>
        </w:rPr>
        <w:tab/>
        <w:t xml:space="preserve">Includes, but not limited to, the Alberta Amateur Wrestling Association (AAWA), </w:t>
      </w:r>
      <w:r w:rsidR="001A0D43">
        <w:rPr>
          <w:rFonts w:eastAsia="Calibri" w:cstheme="minorHAnsi"/>
          <w:lang w:bidi="en-US"/>
        </w:rPr>
        <w:t>Wrestling Canada Lutte (WCL)</w:t>
      </w:r>
      <w:r w:rsidR="001A0D43" w:rsidRPr="00EB21B1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>or United World Wrestling (UWW).</w:t>
      </w:r>
    </w:p>
    <w:p w14:paraId="4138B2CF" w14:textId="77777777" w:rsidR="00EB21B1" w:rsidRPr="00EB21B1" w:rsidRDefault="00EB21B1" w:rsidP="00EB21B1">
      <w:pPr>
        <w:ind w:left="2268" w:hanging="2268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lang w:bidi="en-US"/>
        </w:rPr>
        <w:t>Bias</w:t>
      </w:r>
      <w:r w:rsidRPr="00EB21B1">
        <w:rPr>
          <w:rFonts w:eastAsia="Calibri" w:cstheme="minorHAnsi"/>
          <w:lang w:bidi="en-US"/>
        </w:rPr>
        <w:tab/>
        <w:t>I</w:t>
      </w:r>
      <w:r w:rsidRPr="00EB21B1">
        <w:rPr>
          <w:rFonts w:eastAsia="Calibri" w:cstheme="minorHAnsi"/>
          <w:color w:val="000000"/>
          <w:lang w:bidi="en-US"/>
        </w:rPr>
        <w:t xml:space="preserve">s the lack of neutrality to such an extent that the decision-maker appears not to have considered other views </w:t>
      </w:r>
    </w:p>
    <w:p w14:paraId="373073E9" w14:textId="77777777" w:rsidR="00EB21B1" w:rsidRPr="00EB21B1" w:rsidRDefault="00EB21B1" w:rsidP="00EB21B1">
      <w:pPr>
        <w:ind w:left="2268" w:hanging="2268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lang w:bidi="en-US"/>
        </w:rPr>
        <w:t>Jurisdiction</w:t>
      </w:r>
      <w:r w:rsidRPr="00EB21B1">
        <w:rPr>
          <w:rFonts w:eastAsia="Calibri" w:cstheme="minorHAnsi"/>
          <w:lang w:bidi="en-US"/>
        </w:rPr>
        <w:tab/>
        <w:t>W</w:t>
      </w:r>
      <w:r w:rsidRPr="00EB21B1">
        <w:rPr>
          <w:rFonts w:eastAsia="Calibri" w:cstheme="minorHAnsi"/>
          <w:color w:val="000000"/>
          <w:lang w:bidi="en-US"/>
        </w:rPr>
        <w:t xml:space="preserve">ithin FWCWS’s business, activities or events; or outside of FWCWS’s business, activities or events where it adversely affects FWCWS’s image or reputation. </w:t>
      </w:r>
    </w:p>
    <w:p w14:paraId="58DB7AC6" w14:textId="77777777" w:rsidR="00EB21B1" w:rsidRPr="00EB21B1" w:rsidRDefault="00EB21B1" w:rsidP="00EB21B1">
      <w:pPr>
        <w:ind w:left="2268" w:hanging="2268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>Member(s)</w:t>
      </w:r>
      <w:r w:rsidRPr="00EB21B1">
        <w:rPr>
          <w:rFonts w:eastAsia="Calibri" w:cstheme="minorHAnsi"/>
          <w:lang w:bidi="en-US"/>
        </w:rPr>
        <w:tab/>
        <w:t>Includes a member of the FWCWS, previously or present.</w:t>
      </w:r>
    </w:p>
    <w:p w14:paraId="7701E28E" w14:textId="18E63AB7" w:rsidR="00EB21B1" w:rsidRPr="00EB21B1" w:rsidRDefault="00EB21B1" w:rsidP="00EB21B1">
      <w:pPr>
        <w:ind w:left="2268" w:hanging="2268"/>
        <w:rPr>
          <w:rFonts w:eastAsia="Calibri" w:cstheme="minorHAnsi"/>
          <w:b/>
          <w:lang w:bidi="en-US"/>
        </w:rPr>
      </w:pPr>
      <w:r w:rsidRPr="00EB21B1">
        <w:rPr>
          <w:rFonts w:eastAsia="Calibri" w:cstheme="minorHAnsi"/>
          <w:lang w:bidi="en-US"/>
        </w:rPr>
        <w:t>Other</w:t>
      </w:r>
      <w:r w:rsidR="006F2E4B">
        <w:rPr>
          <w:rFonts w:eastAsia="Calibri" w:cstheme="minorHAnsi"/>
          <w:lang w:bidi="en-US"/>
        </w:rPr>
        <w:t>(</w:t>
      </w:r>
      <w:r w:rsidRPr="00EB21B1">
        <w:rPr>
          <w:rFonts w:eastAsia="Calibri" w:cstheme="minorHAnsi"/>
          <w:lang w:bidi="en-US"/>
        </w:rPr>
        <w:t>s</w:t>
      </w:r>
      <w:r w:rsidR="006F2E4B">
        <w:rPr>
          <w:rFonts w:eastAsia="Calibri" w:cstheme="minorHAnsi"/>
          <w:lang w:bidi="en-US"/>
        </w:rPr>
        <w:t>)</w:t>
      </w:r>
      <w:r w:rsidRPr="00EB21B1">
        <w:rPr>
          <w:rFonts w:eastAsia="Calibri" w:cstheme="minorHAnsi"/>
          <w:lang w:bidi="en-US"/>
        </w:rPr>
        <w:tab/>
        <w:t>Includes any individual, involved in FWCWS sanctioned activities.</w:t>
      </w:r>
    </w:p>
    <w:p w14:paraId="1E5D5F9E" w14:textId="77777777" w:rsidR="00EB21B1" w:rsidRPr="004C1E12" w:rsidRDefault="00EB21B1" w:rsidP="004C1E12">
      <w:pPr>
        <w:spacing w:after="0"/>
        <w:rPr>
          <w:rFonts w:eastAsia="Calibri" w:cstheme="minorHAnsi"/>
          <w:b/>
          <w:sz w:val="24"/>
          <w:u w:val="single"/>
          <w:lang w:bidi="en-US"/>
        </w:rPr>
      </w:pPr>
      <w:r w:rsidRPr="004C1E12">
        <w:rPr>
          <w:rFonts w:eastAsia="Calibri" w:cstheme="minorHAnsi"/>
          <w:b/>
          <w:sz w:val="24"/>
          <w:u w:val="single"/>
          <w:lang w:bidi="en-US"/>
        </w:rPr>
        <w:t>Scope &amp; Application</w:t>
      </w:r>
    </w:p>
    <w:p w14:paraId="7F29F7F4" w14:textId="5531CCE2" w:rsidR="00EB21B1" w:rsidRPr="00EB21B1" w:rsidRDefault="00EB21B1" w:rsidP="00EB21B1">
      <w:pPr>
        <w:numPr>
          <w:ilvl w:val="0"/>
          <w:numId w:val="31"/>
        </w:numPr>
        <w:ind w:left="284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lang w:bidi="en-US"/>
        </w:rPr>
        <w:t>This applies to all FWCWS Members and Others, who are directly affected by a decision made by FWCWS</w:t>
      </w:r>
      <w:r w:rsidR="006F2E4B">
        <w:rPr>
          <w:rFonts w:eastAsia="Calibri" w:cstheme="minorHAnsi"/>
          <w:lang w:bidi="en-US"/>
        </w:rPr>
        <w:t>. Members and Others</w:t>
      </w:r>
      <w:r w:rsidR="00B1699A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>shall have the right to appeal that decision</w:t>
      </w:r>
      <w:r w:rsidR="006F2E4B">
        <w:rPr>
          <w:rFonts w:eastAsia="Calibri" w:cstheme="minorHAnsi"/>
          <w:lang w:bidi="en-US"/>
        </w:rPr>
        <w:t>,</w:t>
      </w:r>
      <w:r w:rsidRPr="00EB21B1">
        <w:rPr>
          <w:rFonts w:eastAsia="Calibri" w:cstheme="minorHAnsi"/>
          <w:lang w:bidi="en-US"/>
        </w:rPr>
        <w:t xml:space="preserve"> provided there are sufficient grounds for the appeal under the ‘Grounds for Appeal’ section of this Policy.</w:t>
      </w:r>
    </w:p>
    <w:p w14:paraId="081A3764" w14:textId="7A7F89A4" w:rsidR="00EB21B1" w:rsidRPr="00EB21B1" w:rsidRDefault="00EB21B1" w:rsidP="00EB21B1">
      <w:pPr>
        <w:numPr>
          <w:ilvl w:val="0"/>
          <w:numId w:val="31"/>
        </w:numPr>
        <w:ind w:left="284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This Policy applies to decisions relating to FWCW Eligibility &amp; Membership decisions under its Bylaws, Conflict of Interest Policy</w:t>
      </w:r>
      <w:r w:rsidR="006F2E4B">
        <w:rPr>
          <w:rFonts w:eastAsia="Calibri" w:cstheme="minorHAnsi"/>
          <w:color w:val="000000"/>
          <w:lang w:bidi="en-US"/>
        </w:rPr>
        <w:t>,</w:t>
      </w:r>
      <w:r w:rsidRPr="00EB21B1">
        <w:rPr>
          <w:rFonts w:eastAsia="Calibri" w:cstheme="minorHAnsi"/>
          <w:color w:val="000000"/>
          <w:lang w:bidi="en-US"/>
        </w:rPr>
        <w:t xml:space="preserve"> or Complaints and Discipline Policy.</w:t>
      </w:r>
      <w:r w:rsidR="006F2E4B">
        <w:rPr>
          <w:rFonts w:eastAsia="Calibri" w:cstheme="minorHAnsi"/>
          <w:color w:val="000000"/>
          <w:lang w:bidi="en-US"/>
        </w:rPr>
        <w:t xml:space="preserve"> </w:t>
      </w:r>
      <w:r w:rsidRPr="00EB21B1">
        <w:rPr>
          <w:rFonts w:eastAsia="Calibri" w:cstheme="minorHAnsi"/>
          <w:color w:val="000000"/>
          <w:lang w:bidi="en-US"/>
        </w:rPr>
        <w:t xml:space="preserve"> It does not apply to decisions relating to Employment; Criminal matters, Commercial matters under a contract or applicable law; external third-party decisions, Budgetary decisions made by the Executive or Board, any decisions made by the FWCWS General Membership, or any decisions made under this Policy.</w:t>
      </w:r>
    </w:p>
    <w:p w14:paraId="70CBB298" w14:textId="77777777" w:rsidR="00EB21B1" w:rsidRPr="004C1E12" w:rsidRDefault="00EB21B1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  <w:r w:rsidRPr="004C1E12">
        <w:rPr>
          <w:rFonts w:eastAsia="Calibri" w:cstheme="minorHAnsi"/>
          <w:b/>
          <w:bCs/>
          <w:sz w:val="24"/>
          <w:szCs w:val="24"/>
          <w:u w:val="single"/>
          <w:lang w:bidi="en-US"/>
        </w:rPr>
        <w:t>Key Principles</w:t>
      </w:r>
    </w:p>
    <w:p w14:paraId="518F650F" w14:textId="77777777" w:rsidR="00EB21B1" w:rsidRPr="00EB21B1" w:rsidRDefault="00EB21B1" w:rsidP="00EB21B1">
      <w:pPr>
        <w:numPr>
          <w:ilvl w:val="0"/>
          <w:numId w:val="32"/>
        </w:numPr>
        <w:ind w:left="284" w:hanging="284"/>
        <w:jc w:val="both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>Eligible decisions should be transparent and subject to review in a fair and impartial manner.</w:t>
      </w:r>
    </w:p>
    <w:p w14:paraId="0524C366" w14:textId="44B2859D" w:rsidR="00EB21B1" w:rsidRPr="00EB21B1" w:rsidRDefault="00EB21B1" w:rsidP="00EB21B1">
      <w:pPr>
        <w:numPr>
          <w:ilvl w:val="0"/>
          <w:numId w:val="32"/>
        </w:numPr>
        <w:ind w:left="284" w:hanging="284"/>
        <w:jc w:val="both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>This Policy and its procedures will be Harmonized (applied to all Members), Fair (procedural</w:t>
      </w:r>
      <w:r w:rsidR="00B1699A">
        <w:rPr>
          <w:rFonts w:eastAsia="Calibri" w:cstheme="minorHAnsi"/>
          <w:lang w:bidi="en-US"/>
        </w:rPr>
        <w:t>ly fair</w:t>
      </w:r>
      <w:r w:rsidRPr="00EB21B1">
        <w:rPr>
          <w:rFonts w:eastAsia="Calibri" w:cstheme="minorHAnsi"/>
          <w:lang w:bidi="en-US"/>
        </w:rPr>
        <w:t xml:space="preserve"> and </w:t>
      </w:r>
      <w:r w:rsidR="00B1699A">
        <w:rPr>
          <w:rFonts w:eastAsia="Calibri" w:cstheme="minorHAnsi"/>
          <w:lang w:bidi="en-US"/>
        </w:rPr>
        <w:t xml:space="preserve">provide </w:t>
      </w:r>
      <w:r w:rsidRPr="00EB21B1">
        <w:rPr>
          <w:rFonts w:eastAsia="Calibri" w:cstheme="minorHAnsi"/>
          <w:lang w:bidi="en-US"/>
        </w:rPr>
        <w:t xml:space="preserve">substantive due process for all Members and </w:t>
      </w:r>
      <w:r w:rsidR="00B1699A">
        <w:rPr>
          <w:rFonts w:eastAsia="Calibri" w:cstheme="minorHAnsi"/>
          <w:lang w:bidi="en-US"/>
        </w:rPr>
        <w:t>Others</w:t>
      </w:r>
      <w:r w:rsidRPr="00EB21B1">
        <w:rPr>
          <w:rFonts w:eastAsia="Calibri" w:cstheme="minorHAnsi"/>
          <w:lang w:bidi="en-US"/>
        </w:rPr>
        <w:t xml:space="preserve">), Comprehensive (address all forms of Complaints and potential sanctions described), Evidence-driven (evidence </w:t>
      </w:r>
      <w:r w:rsidR="00B1699A">
        <w:rPr>
          <w:rFonts w:eastAsia="Calibri" w:cstheme="minorHAnsi"/>
          <w:lang w:bidi="en-US"/>
        </w:rPr>
        <w:t xml:space="preserve">is </w:t>
      </w:r>
      <w:r w:rsidRPr="00EB21B1">
        <w:rPr>
          <w:rFonts w:eastAsia="Calibri" w:cstheme="minorHAnsi"/>
          <w:lang w:bidi="en-US"/>
        </w:rPr>
        <w:t xml:space="preserve">required, where Evidence or “proof” may include the words/report of a complainant if found credible) and Independent (free from all </w:t>
      </w:r>
      <w:r w:rsidR="00B1699A">
        <w:rPr>
          <w:rFonts w:eastAsia="Calibri" w:cstheme="minorHAnsi"/>
          <w:lang w:bidi="en-US"/>
        </w:rPr>
        <w:t xml:space="preserve">undue influence and </w:t>
      </w:r>
      <w:r w:rsidRPr="00EB21B1">
        <w:rPr>
          <w:rFonts w:eastAsia="Calibri" w:cstheme="minorHAnsi"/>
          <w:lang w:bidi="en-US"/>
        </w:rPr>
        <w:t>conflicts of interest).</w:t>
      </w:r>
    </w:p>
    <w:p w14:paraId="3751F78A" w14:textId="77777777" w:rsidR="00AB7A45" w:rsidRDefault="00AB7A45" w:rsidP="004C1E12">
      <w:pPr>
        <w:spacing w:after="0"/>
        <w:ind w:left="369" w:hanging="369"/>
        <w:rPr>
          <w:rFonts w:eastAsia="Calibri" w:cstheme="minorHAnsi"/>
          <w:b/>
          <w:sz w:val="24"/>
          <w:u w:val="single"/>
          <w:lang w:bidi="en-US"/>
        </w:rPr>
      </w:pPr>
    </w:p>
    <w:p w14:paraId="6E68D673" w14:textId="036E3E20" w:rsidR="00EB21B1" w:rsidRPr="004C1E12" w:rsidRDefault="00EB21B1" w:rsidP="004C1E12">
      <w:pPr>
        <w:spacing w:after="0"/>
        <w:ind w:left="369" w:hanging="369"/>
        <w:rPr>
          <w:rFonts w:eastAsia="Calibri" w:cstheme="minorHAnsi"/>
          <w:b/>
          <w:sz w:val="24"/>
          <w:u w:val="single"/>
          <w:lang w:bidi="en-US"/>
        </w:rPr>
      </w:pPr>
      <w:r w:rsidRPr="004C1E12">
        <w:rPr>
          <w:rFonts w:eastAsia="Calibri" w:cstheme="minorHAnsi"/>
          <w:b/>
          <w:sz w:val="24"/>
          <w:u w:val="single"/>
          <w:lang w:bidi="en-US"/>
        </w:rPr>
        <w:lastRenderedPageBreak/>
        <w:t>Appeals Policy</w:t>
      </w:r>
    </w:p>
    <w:p w14:paraId="46F7F509" w14:textId="29BF5535" w:rsidR="00EB21B1" w:rsidRPr="00EB21B1" w:rsidRDefault="00EB21B1" w:rsidP="00EB21B1">
      <w:pPr>
        <w:numPr>
          <w:ilvl w:val="0"/>
          <w:numId w:val="33"/>
        </w:numPr>
        <w:ind w:left="284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ascii="Calibri" w:eastAsia="Calibri" w:hAnsi="Calibri" w:cs="Calibri"/>
          <w:color w:val="000000"/>
          <w:lang w:eastAsia="en-CA"/>
        </w:rPr>
        <w:t>The Policy and Process will be overseen by the President</w:t>
      </w:r>
      <w:r w:rsidR="006F2E4B">
        <w:rPr>
          <w:rFonts w:ascii="Calibri" w:eastAsia="Calibri" w:hAnsi="Calibri" w:cs="Calibri"/>
          <w:color w:val="000000"/>
          <w:lang w:eastAsia="en-CA"/>
        </w:rPr>
        <w:t>,</w:t>
      </w:r>
      <w:r w:rsidRPr="00EB21B1">
        <w:rPr>
          <w:rFonts w:ascii="Calibri" w:eastAsia="Calibri" w:hAnsi="Calibri" w:cs="Calibri"/>
          <w:color w:val="000000"/>
          <w:lang w:eastAsia="en-CA"/>
        </w:rPr>
        <w:t xml:space="preserve"> being the Appeals Officer (AO). </w:t>
      </w:r>
      <w:r w:rsidR="006F2E4B">
        <w:rPr>
          <w:rFonts w:ascii="Calibri" w:eastAsia="Calibri" w:hAnsi="Calibri" w:cs="Calibri"/>
          <w:color w:val="000000"/>
          <w:lang w:eastAsia="en-CA"/>
        </w:rPr>
        <w:t xml:space="preserve"> </w:t>
      </w:r>
      <w:r w:rsidR="00B1699A">
        <w:rPr>
          <w:rFonts w:ascii="Calibri" w:eastAsia="Calibri" w:hAnsi="Calibri" w:cs="Calibri"/>
          <w:color w:val="000000"/>
          <w:lang w:eastAsia="en-CA"/>
        </w:rPr>
        <w:t>Should</w:t>
      </w:r>
      <w:r w:rsidRPr="00EB21B1">
        <w:rPr>
          <w:rFonts w:ascii="Calibri" w:eastAsia="Calibri" w:hAnsi="Calibri" w:cs="Calibri"/>
          <w:color w:val="000000"/>
          <w:lang w:eastAsia="en-CA"/>
        </w:rPr>
        <w:t xml:space="preserve"> the President</w:t>
      </w:r>
      <w:r w:rsidR="00B1699A">
        <w:rPr>
          <w:rFonts w:ascii="Calibri" w:eastAsia="Calibri" w:hAnsi="Calibri" w:cs="Calibri"/>
          <w:color w:val="000000"/>
          <w:lang w:eastAsia="en-CA"/>
        </w:rPr>
        <w:t xml:space="preserve"> be </w:t>
      </w:r>
      <w:r w:rsidRPr="00EB21B1">
        <w:rPr>
          <w:rFonts w:ascii="Calibri" w:eastAsia="Calibri" w:hAnsi="Calibri" w:cs="Calibri"/>
          <w:color w:val="000000"/>
          <w:lang w:eastAsia="en-CA"/>
        </w:rPr>
        <w:t xml:space="preserve">the </w:t>
      </w:r>
      <w:r w:rsidRPr="00EB21B1">
        <w:rPr>
          <w:rFonts w:eastAsia="Calibri" w:cstheme="minorHAnsi"/>
          <w:color w:val="000000"/>
          <w:lang w:bidi="en-US"/>
        </w:rPr>
        <w:t>Complainant</w:t>
      </w:r>
      <w:r w:rsidRPr="00EB21B1">
        <w:rPr>
          <w:rFonts w:ascii="Calibri" w:eastAsia="Calibri" w:hAnsi="Calibri" w:cs="Calibri"/>
          <w:color w:val="000000"/>
          <w:lang w:eastAsia="en-CA"/>
        </w:rPr>
        <w:t xml:space="preserve"> or Respondent</w:t>
      </w:r>
      <w:r w:rsidR="00B1699A">
        <w:rPr>
          <w:rFonts w:ascii="Calibri" w:eastAsia="Calibri" w:hAnsi="Calibri" w:cs="Calibri"/>
          <w:color w:val="000000"/>
          <w:lang w:eastAsia="en-CA"/>
        </w:rPr>
        <w:t xml:space="preserve"> in the matter</w:t>
      </w:r>
      <w:r w:rsidRPr="00EB21B1">
        <w:rPr>
          <w:rFonts w:ascii="Calibri" w:eastAsia="Calibri" w:hAnsi="Calibri" w:cs="Calibri"/>
          <w:color w:val="000000"/>
          <w:lang w:eastAsia="en-CA"/>
        </w:rPr>
        <w:t>, the Vice-President will assume responsibility</w:t>
      </w:r>
      <w:r w:rsidR="00B1699A">
        <w:rPr>
          <w:rFonts w:ascii="Calibri" w:eastAsia="Calibri" w:hAnsi="Calibri" w:cs="Calibri"/>
          <w:color w:val="000000"/>
          <w:lang w:eastAsia="en-CA"/>
        </w:rPr>
        <w:t xml:space="preserve"> to act as AO</w:t>
      </w:r>
      <w:r w:rsidRPr="00EB21B1">
        <w:rPr>
          <w:rFonts w:ascii="Calibri" w:eastAsia="Calibri" w:hAnsi="Calibri" w:cs="Calibri"/>
          <w:color w:val="000000"/>
          <w:lang w:eastAsia="en-CA"/>
        </w:rPr>
        <w:t>.</w:t>
      </w:r>
      <w:r w:rsidR="00F975B9">
        <w:rPr>
          <w:rFonts w:ascii="Calibri" w:eastAsia="Calibri" w:hAnsi="Calibri" w:cs="Calibri"/>
          <w:color w:val="000000"/>
          <w:lang w:eastAsia="en-CA"/>
        </w:rPr>
        <w:t xml:space="preserve"> </w:t>
      </w:r>
      <w:r w:rsidR="00B1699A">
        <w:rPr>
          <w:rFonts w:ascii="Calibri" w:eastAsia="Calibri" w:hAnsi="Calibri" w:cs="Calibri"/>
          <w:color w:val="000000"/>
          <w:lang w:eastAsia="en-CA"/>
        </w:rPr>
        <w:t>T</w:t>
      </w:r>
      <w:r w:rsidR="00F975B9">
        <w:rPr>
          <w:rFonts w:ascii="Calibri" w:eastAsia="Calibri" w:hAnsi="Calibri" w:cs="Calibri"/>
          <w:color w:val="000000"/>
          <w:lang w:eastAsia="en-CA"/>
        </w:rPr>
        <w:t xml:space="preserve">he President may </w:t>
      </w:r>
      <w:r w:rsidR="00D41851">
        <w:rPr>
          <w:rFonts w:ascii="Calibri" w:eastAsia="Calibri" w:hAnsi="Calibri" w:cs="Calibri"/>
          <w:color w:val="000000"/>
          <w:lang w:eastAsia="en-CA"/>
        </w:rPr>
        <w:t xml:space="preserve">recommend to the Board that </w:t>
      </w:r>
      <w:r w:rsidR="00F975B9">
        <w:rPr>
          <w:rFonts w:ascii="Calibri" w:eastAsia="Calibri" w:hAnsi="Calibri" w:cs="Calibri"/>
          <w:color w:val="000000"/>
          <w:lang w:eastAsia="en-CA"/>
        </w:rPr>
        <w:t>an independent adjudicator</w:t>
      </w:r>
      <w:r w:rsidR="00D41851">
        <w:rPr>
          <w:rFonts w:ascii="Calibri" w:eastAsia="Calibri" w:hAnsi="Calibri" w:cs="Calibri"/>
          <w:color w:val="000000"/>
          <w:lang w:eastAsia="en-CA"/>
        </w:rPr>
        <w:t xml:space="preserve"> be appointed as the AO</w:t>
      </w:r>
      <w:r w:rsidR="00B1699A">
        <w:rPr>
          <w:rFonts w:ascii="Calibri" w:eastAsia="Calibri" w:hAnsi="Calibri" w:cs="Calibri"/>
          <w:color w:val="000000"/>
          <w:lang w:eastAsia="en-CA"/>
        </w:rPr>
        <w:t xml:space="preserve"> in rare cases where such action is deemed appropriate.</w:t>
      </w:r>
    </w:p>
    <w:p w14:paraId="31802C78" w14:textId="7023B50A" w:rsidR="00EB21B1" w:rsidRPr="00EB21B1" w:rsidRDefault="00EB21B1" w:rsidP="00EB21B1">
      <w:pPr>
        <w:numPr>
          <w:ilvl w:val="0"/>
          <w:numId w:val="33"/>
        </w:numPr>
        <w:ind w:left="284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lang w:bidi="en-US"/>
        </w:rPr>
        <w:t xml:space="preserve">Members and </w:t>
      </w:r>
      <w:r w:rsidR="006F2E4B">
        <w:rPr>
          <w:rFonts w:eastAsia="Calibri" w:cstheme="minorHAnsi"/>
          <w:lang w:bidi="en-US"/>
        </w:rPr>
        <w:t>Others</w:t>
      </w:r>
      <w:r w:rsidRPr="00EB21B1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color w:val="000000"/>
          <w:lang w:bidi="en-US"/>
        </w:rPr>
        <w:t xml:space="preserve">who wish to appeal a decision have seven (7) days from the date on which they received notice of the decision to submit their </w:t>
      </w:r>
      <w:r w:rsidR="006F2E4B">
        <w:rPr>
          <w:rFonts w:eastAsia="Calibri" w:cstheme="minorHAnsi"/>
          <w:color w:val="000000"/>
          <w:lang w:bidi="en-US"/>
        </w:rPr>
        <w:t xml:space="preserve">request for an </w:t>
      </w:r>
      <w:r w:rsidRPr="00EB21B1">
        <w:rPr>
          <w:rFonts w:eastAsia="Calibri" w:cstheme="minorHAnsi"/>
          <w:color w:val="000000"/>
          <w:lang w:bidi="en-US"/>
        </w:rPr>
        <w:t xml:space="preserve">appeal to the AO. </w:t>
      </w:r>
      <w:r w:rsidR="006F2E4B">
        <w:rPr>
          <w:rFonts w:eastAsia="Calibri" w:cstheme="minorHAnsi"/>
          <w:color w:val="000000"/>
          <w:lang w:bidi="en-US"/>
        </w:rPr>
        <w:t xml:space="preserve"> </w:t>
      </w:r>
      <w:r w:rsidR="00B1699A">
        <w:rPr>
          <w:rFonts w:eastAsia="Calibri" w:cstheme="minorHAnsi"/>
          <w:color w:val="000000"/>
          <w:lang w:bidi="en-US"/>
        </w:rPr>
        <w:t xml:space="preserve">That appeal must be submitted in writing.  </w:t>
      </w:r>
      <w:r w:rsidRPr="00EB21B1">
        <w:rPr>
          <w:rFonts w:eastAsia="Calibri" w:cstheme="minorHAnsi"/>
          <w:lang w:bidi="en-US"/>
        </w:rPr>
        <w:t xml:space="preserve">Any request </w:t>
      </w:r>
      <w:r w:rsidR="006F2E4B">
        <w:rPr>
          <w:rFonts w:eastAsia="Calibri" w:cstheme="minorHAnsi"/>
          <w:lang w:bidi="en-US"/>
        </w:rPr>
        <w:t>for an extension</w:t>
      </w:r>
      <w:r w:rsidRPr="00EB21B1">
        <w:rPr>
          <w:rFonts w:eastAsia="Calibri" w:cstheme="minorHAnsi"/>
          <w:lang w:bidi="en-US"/>
        </w:rPr>
        <w:t xml:space="preserve"> beyond the seven (7) day period must be in writing</w:t>
      </w:r>
      <w:r w:rsidR="006F2E4B">
        <w:rPr>
          <w:rFonts w:eastAsia="Calibri" w:cstheme="minorHAnsi"/>
          <w:lang w:bidi="en-US"/>
        </w:rPr>
        <w:t>,</w:t>
      </w:r>
      <w:r w:rsidRPr="00EB21B1">
        <w:rPr>
          <w:rFonts w:eastAsia="Calibri" w:cstheme="minorHAnsi"/>
          <w:lang w:bidi="en-US"/>
        </w:rPr>
        <w:t xml:space="preserve"> stating the reasons for </w:t>
      </w:r>
      <w:r w:rsidR="006F2E4B">
        <w:rPr>
          <w:rFonts w:eastAsia="Calibri" w:cstheme="minorHAnsi"/>
          <w:lang w:bidi="en-US"/>
        </w:rPr>
        <w:t>the requested</w:t>
      </w:r>
      <w:r w:rsidR="006F2E4B" w:rsidRPr="00EB21B1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 xml:space="preserve">exemption. </w:t>
      </w:r>
      <w:r w:rsidR="006F2E4B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>The decision to allow, or not allow</w:t>
      </w:r>
      <w:r w:rsidR="006F2E4B">
        <w:rPr>
          <w:rFonts w:eastAsia="Calibri" w:cstheme="minorHAnsi"/>
          <w:lang w:bidi="en-US"/>
        </w:rPr>
        <w:t xml:space="preserve"> submission of </w:t>
      </w:r>
      <w:r w:rsidRPr="00EB21B1">
        <w:rPr>
          <w:rFonts w:eastAsia="Calibri" w:cstheme="minorHAnsi"/>
          <w:lang w:bidi="en-US"/>
        </w:rPr>
        <w:t xml:space="preserve">an appeal outside of the seven (7) day period will be at the sole discretion of the AO </w:t>
      </w:r>
      <w:r w:rsidRPr="00EB21B1">
        <w:rPr>
          <w:rFonts w:eastAsia="Calibri" w:cstheme="minorHAnsi"/>
          <w:color w:val="000000"/>
          <w:lang w:bidi="en-US"/>
        </w:rPr>
        <w:t>and may not be appealed.</w:t>
      </w:r>
    </w:p>
    <w:p w14:paraId="4BB39E8B" w14:textId="2668A877" w:rsidR="00D41851" w:rsidRPr="00EB21B1" w:rsidRDefault="00D41851" w:rsidP="00D41851">
      <w:pPr>
        <w:numPr>
          <w:ilvl w:val="0"/>
          <w:numId w:val="33"/>
        </w:numPr>
        <w:ind w:left="284" w:hanging="284"/>
        <w:jc w:val="both"/>
        <w:rPr>
          <w:rFonts w:eastAsia="Calibri" w:cstheme="minorHAnsi"/>
          <w:lang w:bidi="en-US"/>
        </w:rPr>
      </w:pPr>
      <w:r>
        <w:rPr>
          <w:rFonts w:eastAsia="Calibri" w:cstheme="minorHAnsi"/>
          <w:lang w:bidi="en-US"/>
        </w:rPr>
        <w:t xml:space="preserve">If the Appellant or the Complainant are </w:t>
      </w:r>
      <w:r w:rsidRPr="00EB21B1">
        <w:rPr>
          <w:rFonts w:eastAsia="Calibri" w:cstheme="minorHAnsi"/>
          <w:lang w:bidi="en-US"/>
        </w:rPr>
        <w:t>Minors</w:t>
      </w:r>
      <w:r>
        <w:rPr>
          <w:rFonts w:eastAsia="Calibri" w:cstheme="minorHAnsi"/>
          <w:lang w:bidi="en-US"/>
        </w:rPr>
        <w:t xml:space="preserve">, they </w:t>
      </w:r>
      <w:r w:rsidRPr="00EB21B1">
        <w:rPr>
          <w:rFonts w:eastAsia="Calibri" w:cstheme="minorHAnsi"/>
          <w:lang w:bidi="en-US"/>
        </w:rPr>
        <w:t xml:space="preserve">must have a parent/guardian or other adult serve as their representative during this process. </w:t>
      </w:r>
      <w:r w:rsidR="00FB6A1F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 xml:space="preserve">If the Minor’s adult representative is not their parent/guardian, the representative must have written permission to act </w:t>
      </w:r>
      <w:r>
        <w:rPr>
          <w:rFonts w:eastAsia="Calibri" w:cstheme="minorHAnsi"/>
          <w:lang w:bidi="en-US"/>
        </w:rPr>
        <w:t xml:space="preserve">in </w:t>
      </w:r>
      <w:r w:rsidRPr="00EB21B1">
        <w:rPr>
          <w:rFonts w:eastAsia="Calibri" w:cstheme="minorHAnsi"/>
          <w:lang w:bidi="en-US"/>
        </w:rPr>
        <w:t xml:space="preserve">such a capacity from the Minor’s parent/guardian. Communications, as applicable, must be directed to the Minor’s representative. </w:t>
      </w:r>
      <w:r w:rsidR="00FB6A1F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 xml:space="preserve">A minor is not required to attend an oral hearing, if </w:t>
      </w:r>
      <w:r w:rsidR="00FB6A1F">
        <w:rPr>
          <w:rFonts w:eastAsia="Calibri" w:cstheme="minorHAnsi"/>
          <w:lang w:bidi="en-US"/>
        </w:rPr>
        <w:t xml:space="preserve">such hearing is </w:t>
      </w:r>
      <w:r w:rsidRPr="00EB21B1">
        <w:rPr>
          <w:rFonts w:eastAsia="Calibri" w:cstheme="minorHAnsi"/>
          <w:lang w:bidi="en-US"/>
        </w:rPr>
        <w:t>held.</w:t>
      </w:r>
    </w:p>
    <w:p w14:paraId="1D36B50A" w14:textId="667B72CB" w:rsidR="00EB21B1" w:rsidRPr="00EB21B1" w:rsidRDefault="00EB21B1" w:rsidP="00EB21B1">
      <w:pPr>
        <w:numPr>
          <w:ilvl w:val="0"/>
          <w:numId w:val="33"/>
        </w:numPr>
        <w:spacing w:after="0"/>
        <w:ind w:left="284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 xml:space="preserve">A decision cannot be appealed on its merits alone. </w:t>
      </w:r>
      <w:r w:rsidRPr="00EB21B1">
        <w:rPr>
          <w:rFonts w:eastAsia="Calibri" w:cstheme="minorHAnsi"/>
          <w:lang w:bidi="en-US"/>
        </w:rPr>
        <w:t>The Appellant must demonstrate, on a balance of probabilities (in the sole opinion of the AO), that the Respondent has made a procedural error and that this error had, or may reasonably have ha</w:t>
      </w:r>
      <w:r w:rsidR="00B1699A">
        <w:rPr>
          <w:rFonts w:eastAsia="Calibri" w:cstheme="minorHAnsi"/>
          <w:lang w:bidi="en-US"/>
        </w:rPr>
        <w:t>d</w:t>
      </w:r>
      <w:r w:rsidRPr="00EB21B1">
        <w:rPr>
          <w:rFonts w:eastAsia="Calibri" w:cstheme="minorHAnsi"/>
          <w:lang w:bidi="en-US"/>
        </w:rPr>
        <w:t xml:space="preserve"> a material effect on the decision or decision-maker</w:t>
      </w:r>
      <w:r w:rsidRPr="00EB21B1">
        <w:rPr>
          <w:rFonts w:eastAsia="Calibri" w:cstheme="minorHAnsi"/>
          <w:color w:val="000000"/>
          <w:lang w:bidi="en-US"/>
        </w:rPr>
        <w:t xml:space="preserve">, in one of the following ways: </w:t>
      </w:r>
    </w:p>
    <w:p w14:paraId="56CBF202" w14:textId="78CD3213" w:rsidR="00EB21B1" w:rsidRPr="00EB21B1" w:rsidRDefault="00EB21B1" w:rsidP="00EB21B1">
      <w:pPr>
        <w:numPr>
          <w:ilvl w:val="1"/>
          <w:numId w:val="33"/>
        </w:numPr>
        <w:spacing w:after="0"/>
        <w:ind w:left="567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The Respondent made a decision that it did not have the authority or jurisdiction</w:t>
      </w:r>
      <w:r w:rsidR="004F37E3">
        <w:rPr>
          <w:rFonts w:eastAsia="Calibri" w:cstheme="minorHAnsi"/>
          <w:color w:val="000000"/>
          <w:lang w:bidi="en-US"/>
        </w:rPr>
        <w:t xml:space="preserve"> to make</w:t>
      </w:r>
      <w:r w:rsidR="00FB6A1F">
        <w:rPr>
          <w:rFonts w:eastAsia="Calibri" w:cstheme="minorHAnsi"/>
          <w:color w:val="000000"/>
          <w:lang w:bidi="en-US"/>
        </w:rPr>
        <w:t xml:space="preserve">, </w:t>
      </w:r>
      <w:r w:rsidRPr="00EB21B1">
        <w:rPr>
          <w:rFonts w:eastAsia="Calibri" w:cstheme="minorHAnsi"/>
          <w:color w:val="000000"/>
          <w:lang w:bidi="en-US"/>
        </w:rPr>
        <w:t xml:space="preserve">as set out in the Respondent’s governing documents; </w:t>
      </w:r>
    </w:p>
    <w:p w14:paraId="69102B76" w14:textId="6B5461E8" w:rsidR="00EB21B1" w:rsidRPr="00EB21B1" w:rsidRDefault="00EB21B1" w:rsidP="00EB21B1">
      <w:pPr>
        <w:numPr>
          <w:ilvl w:val="1"/>
          <w:numId w:val="33"/>
        </w:numPr>
        <w:spacing w:after="0"/>
        <w:ind w:left="567" w:hanging="284"/>
        <w:jc w:val="both"/>
        <w:rPr>
          <w:rFonts w:eastAsia="Calibri" w:cstheme="minorHAnsi"/>
          <w:color w:val="000000" w:themeColor="text1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 xml:space="preserve">The Respondent failed to follow </w:t>
      </w:r>
      <w:r w:rsidR="004F37E3">
        <w:rPr>
          <w:rFonts w:eastAsia="Calibri" w:cstheme="minorHAnsi"/>
          <w:color w:val="000000"/>
          <w:lang w:bidi="en-US"/>
        </w:rPr>
        <w:t xml:space="preserve">the approved </w:t>
      </w:r>
      <w:r w:rsidRPr="00EB21B1">
        <w:rPr>
          <w:rFonts w:eastAsia="Calibri" w:cstheme="minorHAnsi"/>
          <w:color w:val="000000"/>
          <w:lang w:bidi="en-US"/>
        </w:rPr>
        <w:t>procedures</w:t>
      </w:r>
      <w:r w:rsidR="00FB6A1F">
        <w:rPr>
          <w:rFonts w:eastAsia="Calibri" w:cstheme="minorHAnsi"/>
          <w:color w:val="000000"/>
          <w:lang w:bidi="en-US"/>
        </w:rPr>
        <w:t xml:space="preserve">, </w:t>
      </w:r>
      <w:r w:rsidRPr="00EB21B1">
        <w:rPr>
          <w:rFonts w:eastAsia="Calibri" w:cstheme="minorHAnsi"/>
          <w:color w:val="000000"/>
          <w:lang w:bidi="en-US"/>
        </w:rPr>
        <w:t xml:space="preserve">as set out in the Respondent’s governing </w:t>
      </w:r>
      <w:r w:rsidRPr="00EB21B1">
        <w:rPr>
          <w:rFonts w:eastAsia="Calibri" w:cstheme="minorHAnsi"/>
          <w:color w:val="000000" w:themeColor="text1"/>
          <w:lang w:bidi="en-US"/>
        </w:rPr>
        <w:t>documents</w:t>
      </w:r>
      <w:r w:rsidR="00FB6A1F">
        <w:rPr>
          <w:rFonts w:eastAsia="Calibri" w:cstheme="minorHAnsi"/>
          <w:color w:val="000000" w:themeColor="text1"/>
          <w:lang w:bidi="en-US"/>
        </w:rPr>
        <w:t xml:space="preserve">, </w:t>
      </w:r>
      <w:r w:rsidRPr="00EB21B1">
        <w:rPr>
          <w:rFonts w:eastAsia="Calibri" w:cstheme="minorHAnsi"/>
          <w:color w:val="000000" w:themeColor="text1"/>
          <w:lang w:bidi="en-US"/>
        </w:rPr>
        <w:t>or</w:t>
      </w:r>
      <w:r w:rsidR="004F37E3">
        <w:rPr>
          <w:rFonts w:eastAsia="Calibri" w:cstheme="minorHAnsi"/>
          <w:color w:val="000000" w:themeColor="text1"/>
          <w:lang w:bidi="en-US"/>
        </w:rPr>
        <w:t>;</w:t>
      </w:r>
      <w:r w:rsidRPr="00EB21B1">
        <w:rPr>
          <w:rFonts w:eastAsia="Calibri" w:cstheme="minorHAnsi"/>
          <w:color w:val="000000" w:themeColor="text1"/>
          <w:lang w:bidi="en-US"/>
        </w:rPr>
        <w:t xml:space="preserve"> </w:t>
      </w:r>
    </w:p>
    <w:p w14:paraId="2C604DEC" w14:textId="77777777" w:rsidR="00EB21B1" w:rsidRPr="00EB21B1" w:rsidRDefault="00EB21B1" w:rsidP="00EB21B1">
      <w:pPr>
        <w:numPr>
          <w:ilvl w:val="1"/>
          <w:numId w:val="33"/>
        </w:numPr>
        <w:ind w:left="567" w:hanging="284"/>
        <w:jc w:val="both"/>
        <w:rPr>
          <w:rFonts w:eastAsia="Calibri" w:cstheme="minorHAnsi"/>
          <w:color w:val="000000" w:themeColor="text1"/>
          <w:lang w:bidi="en-US"/>
        </w:rPr>
      </w:pPr>
      <w:r w:rsidRPr="00EB21B1">
        <w:rPr>
          <w:rFonts w:eastAsia="Calibri" w:cstheme="minorHAnsi"/>
          <w:color w:val="000000" w:themeColor="text1"/>
          <w:lang w:bidi="en-US"/>
        </w:rPr>
        <w:t>The Respondent made a decision that was influenced by bias.</w:t>
      </w:r>
    </w:p>
    <w:p w14:paraId="059A1A79" w14:textId="35CA5123" w:rsidR="00EB21B1" w:rsidRPr="00EB21B1" w:rsidRDefault="00EB21B1" w:rsidP="00EB21B1">
      <w:pPr>
        <w:numPr>
          <w:ilvl w:val="0"/>
          <w:numId w:val="33"/>
        </w:numPr>
        <w:ind w:left="284" w:hanging="284"/>
        <w:jc w:val="both"/>
        <w:rPr>
          <w:rFonts w:eastAsia="Calibri" w:cstheme="minorHAnsi"/>
          <w:color w:val="000000" w:themeColor="text1"/>
          <w:lang w:bidi="en-US"/>
        </w:rPr>
      </w:pPr>
      <w:r w:rsidRPr="00EB21B1">
        <w:rPr>
          <w:rFonts w:eastAsia="Calibri" w:cstheme="minorHAnsi"/>
          <w:color w:val="000000" w:themeColor="text1"/>
          <w:lang w:bidi="en-US"/>
        </w:rPr>
        <w:t>This Process is intended to be confidential and should involve only the AO, Appellant and Affected Parties.</w:t>
      </w:r>
      <w:r w:rsidR="00FB6A1F">
        <w:rPr>
          <w:rFonts w:eastAsia="Calibri" w:cstheme="minorHAnsi"/>
          <w:color w:val="000000" w:themeColor="text1"/>
          <w:lang w:bidi="en-US"/>
        </w:rPr>
        <w:t xml:space="preserve"> </w:t>
      </w:r>
      <w:r w:rsidRPr="00EB21B1">
        <w:rPr>
          <w:rFonts w:eastAsia="Calibri" w:cstheme="minorHAnsi"/>
          <w:color w:val="000000" w:themeColor="text1"/>
          <w:lang w:bidi="en-US"/>
        </w:rPr>
        <w:t>Once initiated and until a decision is released, none of the participants will disclose confidential information relating to the Appeal to any person not</w:t>
      </w:r>
      <w:r w:rsidR="00FB6A1F">
        <w:rPr>
          <w:rFonts w:eastAsia="Calibri" w:cstheme="minorHAnsi"/>
          <w:color w:val="000000" w:themeColor="text1"/>
          <w:lang w:bidi="en-US"/>
        </w:rPr>
        <w:t xml:space="preserve"> directly </w:t>
      </w:r>
      <w:r w:rsidRPr="00EB21B1">
        <w:rPr>
          <w:rFonts w:eastAsia="Calibri" w:cstheme="minorHAnsi"/>
          <w:color w:val="000000" w:themeColor="text1"/>
          <w:lang w:bidi="en-US"/>
        </w:rPr>
        <w:t>involved in the proceedings.</w:t>
      </w:r>
    </w:p>
    <w:p w14:paraId="02583B2E" w14:textId="6E9D985A" w:rsidR="00E129C7" w:rsidRPr="00EB21B1" w:rsidRDefault="00EB21B1" w:rsidP="00B323FB">
      <w:pPr>
        <w:numPr>
          <w:ilvl w:val="0"/>
          <w:numId w:val="33"/>
        </w:numPr>
        <w:ind w:left="284" w:hanging="284"/>
        <w:jc w:val="both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color w:val="000000" w:themeColor="text1"/>
          <w:lang w:bidi="en-US"/>
        </w:rPr>
        <w:t xml:space="preserve">Once a decision is rendered in accordance with this policy, FWCWS will share such decision with Members of the FWCWS, Affiliates and Others, as applicable, and </w:t>
      </w:r>
      <w:r w:rsidR="00FB6A1F">
        <w:rPr>
          <w:rFonts w:eastAsia="Calibri" w:cstheme="minorHAnsi"/>
          <w:color w:val="000000" w:themeColor="text1"/>
          <w:lang w:bidi="en-US"/>
        </w:rPr>
        <w:t xml:space="preserve">the decision </w:t>
      </w:r>
      <w:r w:rsidRPr="00EB21B1">
        <w:rPr>
          <w:rFonts w:eastAsia="Calibri" w:cstheme="minorHAnsi"/>
          <w:color w:val="000000" w:themeColor="text1"/>
          <w:lang w:bidi="en-US"/>
        </w:rPr>
        <w:t>will be considered a matter of public record, unless decided otherwise by the AO.</w:t>
      </w:r>
      <w:r w:rsidR="00E129C7">
        <w:rPr>
          <w:rFonts w:eastAsia="Calibri" w:cstheme="minorHAnsi"/>
          <w:color w:val="000000" w:themeColor="text1"/>
          <w:lang w:bidi="en-US"/>
        </w:rPr>
        <w:t xml:space="preserve"> </w:t>
      </w:r>
      <w:r w:rsidR="00E129C7">
        <w:rPr>
          <w:rFonts w:eastAsia="Calibri" w:cstheme="minorHAnsi"/>
          <w:lang w:bidi="en-US"/>
        </w:rPr>
        <w:t xml:space="preserve">Confidential information will be kept private upon the conclusion of </w:t>
      </w:r>
      <w:r w:rsidR="00B323FB">
        <w:rPr>
          <w:rFonts w:eastAsia="Calibri" w:cstheme="minorHAnsi"/>
          <w:lang w:bidi="en-US"/>
        </w:rPr>
        <w:t>the Appeal process.</w:t>
      </w:r>
    </w:p>
    <w:p w14:paraId="1B4A318C" w14:textId="7F37ABB2" w:rsidR="00EB21B1" w:rsidRPr="00EB21B1" w:rsidRDefault="00EB21B1" w:rsidP="00EB21B1">
      <w:pPr>
        <w:numPr>
          <w:ilvl w:val="0"/>
          <w:numId w:val="33"/>
        </w:numPr>
        <w:ind w:left="284" w:hanging="284"/>
        <w:jc w:val="both"/>
        <w:rPr>
          <w:rFonts w:eastAsia="Calibri" w:cstheme="minorHAnsi"/>
          <w:color w:val="000000" w:themeColor="text1"/>
          <w:lang w:bidi="en-US"/>
        </w:rPr>
      </w:pPr>
      <w:r w:rsidRPr="00EB21B1">
        <w:rPr>
          <w:rFonts w:eastAsia="Times New Roman" w:cstheme="minorHAnsi"/>
          <w:color w:val="000000" w:themeColor="text1"/>
          <w:szCs w:val="16"/>
          <w:lang w:eastAsia="x-none"/>
        </w:rPr>
        <w:t xml:space="preserve">The Appellant agrees that any decision of the AO will be binding on the Appellant and the FWCWS only and subject to the right of another </w:t>
      </w:r>
      <w:r w:rsidR="004F37E3">
        <w:rPr>
          <w:rFonts w:eastAsia="Times New Roman" w:cstheme="minorHAnsi"/>
          <w:color w:val="000000" w:themeColor="text1"/>
          <w:szCs w:val="16"/>
          <w:lang w:eastAsia="x-none"/>
        </w:rPr>
        <w:t>p</w:t>
      </w:r>
      <w:r w:rsidR="004F37E3" w:rsidRPr="00EB21B1">
        <w:rPr>
          <w:rFonts w:eastAsia="Times New Roman" w:cstheme="minorHAnsi"/>
          <w:color w:val="000000" w:themeColor="text1"/>
          <w:szCs w:val="16"/>
          <w:lang w:eastAsia="x-none"/>
        </w:rPr>
        <w:t xml:space="preserve">arty </w:t>
      </w:r>
      <w:r w:rsidRPr="00EB21B1">
        <w:rPr>
          <w:rFonts w:eastAsia="Times New Roman" w:cstheme="minorHAnsi"/>
          <w:color w:val="000000" w:themeColor="text1"/>
          <w:szCs w:val="16"/>
          <w:lang w:eastAsia="x-none"/>
        </w:rPr>
        <w:t xml:space="preserve">to </w:t>
      </w:r>
      <w:r w:rsidR="004F37E3">
        <w:rPr>
          <w:rFonts w:eastAsia="Times New Roman" w:cstheme="minorHAnsi"/>
          <w:color w:val="000000" w:themeColor="text1"/>
          <w:szCs w:val="16"/>
          <w:lang w:eastAsia="x-none"/>
        </w:rPr>
        <w:t>a</w:t>
      </w:r>
      <w:r w:rsidRPr="00EB21B1">
        <w:rPr>
          <w:rFonts w:eastAsia="Times New Roman" w:cstheme="minorHAnsi"/>
          <w:color w:val="000000" w:themeColor="text1"/>
          <w:szCs w:val="16"/>
          <w:lang w:eastAsia="x-none"/>
        </w:rPr>
        <w:t>ppeal the decision pursuant to this Policy.</w:t>
      </w:r>
    </w:p>
    <w:p w14:paraId="085B9AA9" w14:textId="6BE3231A" w:rsidR="00EB21B1" w:rsidRPr="00EB21B1" w:rsidRDefault="00EB21B1" w:rsidP="00EB21B1">
      <w:pPr>
        <w:numPr>
          <w:ilvl w:val="0"/>
          <w:numId w:val="33"/>
        </w:numPr>
        <w:ind w:left="284" w:hanging="284"/>
        <w:jc w:val="both"/>
        <w:rPr>
          <w:rFonts w:eastAsia="Calibri" w:cstheme="minorHAnsi"/>
          <w:color w:val="000000" w:themeColor="text1"/>
          <w:lang w:bidi="en-US"/>
        </w:rPr>
      </w:pPr>
      <w:r w:rsidRPr="00EB21B1">
        <w:rPr>
          <w:rFonts w:eastAsia="Calibri" w:cstheme="minorHAnsi"/>
          <w:color w:val="000000" w:themeColor="text1"/>
          <w:lang w:eastAsia="x-none" w:bidi="en-US"/>
        </w:rPr>
        <w:t xml:space="preserve">Once an Appeal is heard and a decision rendered, the Appellant and Affected Parties cannot undertake any further action or legal proceeding against FWCWS, </w:t>
      </w:r>
      <w:r w:rsidR="004F37E3">
        <w:rPr>
          <w:rFonts w:eastAsia="Calibri" w:cstheme="minorHAnsi"/>
          <w:color w:val="000000" w:themeColor="text1"/>
          <w:lang w:eastAsia="x-none" w:bidi="en-US"/>
        </w:rPr>
        <w:t>its</w:t>
      </w:r>
      <w:r w:rsidRPr="00EB21B1">
        <w:rPr>
          <w:rFonts w:eastAsia="Calibri" w:cstheme="minorHAnsi"/>
          <w:color w:val="000000" w:themeColor="text1"/>
          <w:lang w:eastAsia="x-none" w:bidi="en-US"/>
        </w:rPr>
        <w:t xml:space="preserve"> Members and </w:t>
      </w:r>
      <w:r w:rsidR="004F37E3">
        <w:rPr>
          <w:rFonts w:eastAsia="Calibri" w:cstheme="minorHAnsi"/>
          <w:color w:val="000000" w:themeColor="text1"/>
          <w:lang w:eastAsia="x-none" w:bidi="en-US"/>
        </w:rPr>
        <w:t>Others</w:t>
      </w:r>
      <w:r w:rsidRPr="00EB21B1">
        <w:rPr>
          <w:rFonts w:eastAsia="Calibri" w:cstheme="minorHAnsi"/>
          <w:color w:val="000000" w:themeColor="text1"/>
          <w:lang w:eastAsia="x-none" w:bidi="en-US"/>
        </w:rPr>
        <w:t xml:space="preserve"> in respect of a dispute.</w:t>
      </w:r>
    </w:p>
    <w:p w14:paraId="3D48EDDB" w14:textId="18367E9C" w:rsidR="00EB21B1" w:rsidRPr="00EB21B1" w:rsidRDefault="00EB21B1" w:rsidP="00EB21B1">
      <w:pPr>
        <w:numPr>
          <w:ilvl w:val="0"/>
          <w:numId w:val="33"/>
        </w:numPr>
        <w:ind w:left="284" w:hanging="284"/>
        <w:jc w:val="both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 xml:space="preserve">An individual who submits an Appeal in good faith to FWCWS, or who gives evidence in an Appeal, may not be subject to reprisal or retaliation from any individual or group. </w:t>
      </w:r>
      <w:r w:rsidR="004F37E3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 xml:space="preserve">Should anyone who participates </w:t>
      </w:r>
      <w:r w:rsidRPr="00EB21B1">
        <w:rPr>
          <w:rFonts w:eastAsia="Calibri" w:cstheme="minorHAnsi"/>
          <w:lang w:bidi="en-US"/>
        </w:rPr>
        <w:lastRenderedPageBreak/>
        <w:t xml:space="preserve">in the process face reprisal or retaliation, that individual will have cause to submit a complaint </w:t>
      </w:r>
      <w:r w:rsidR="004F37E3">
        <w:rPr>
          <w:rFonts w:eastAsia="Calibri" w:cstheme="minorHAnsi"/>
          <w:lang w:bidi="en-US"/>
        </w:rPr>
        <w:t xml:space="preserve">to FWCWS </w:t>
      </w:r>
      <w:r w:rsidRPr="00EB21B1">
        <w:rPr>
          <w:rFonts w:eastAsia="Calibri" w:cstheme="minorHAnsi"/>
          <w:lang w:bidi="en-US"/>
        </w:rPr>
        <w:t>under the Complaints and Discipline Policy.</w:t>
      </w:r>
    </w:p>
    <w:p w14:paraId="31D9C7B2" w14:textId="77777777" w:rsidR="00EB21B1" w:rsidRPr="00EB21B1" w:rsidRDefault="00EB21B1" w:rsidP="00EB21B1">
      <w:pPr>
        <w:numPr>
          <w:ilvl w:val="0"/>
          <w:numId w:val="33"/>
        </w:numPr>
        <w:ind w:left="284" w:hanging="284"/>
        <w:jc w:val="both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>An individual who submits allegations or information that the AO determines to be maliciously false or for the purpose of retribution, retaliation or vengeance, may be subject to a complaint under the terms of the Complaints and Discipline</w:t>
      </w:r>
      <w:r w:rsidRPr="00EB21B1">
        <w:rPr>
          <w:rFonts w:eastAsia="Calibri" w:cstheme="minorHAnsi"/>
          <w:i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>Policy with FWCWS.</w:t>
      </w:r>
    </w:p>
    <w:p w14:paraId="3A034226" w14:textId="1F3BA72D" w:rsidR="00EB21B1" w:rsidRPr="004C1E12" w:rsidRDefault="00EB21B1" w:rsidP="004C1E12">
      <w:pPr>
        <w:spacing w:after="0"/>
        <w:ind w:left="369" w:hanging="369"/>
        <w:rPr>
          <w:rFonts w:eastAsia="Calibri" w:cstheme="minorHAnsi"/>
          <w:b/>
          <w:sz w:val="24"/>
          <w:u w:val="single"/>
          <w:lang w:bidi="en-US"/>
        </w:rPr>
      </w:pPr>
      <w:r w:rsidRPr="004C1E12">
        <w:rPr>
          <w:rFonts w:eastAsia="Calibri" w:cstheme="minorHAnsi"/>
          <w:b/>
          <w:bCs/>
          <w:sz w:val="24"/>
          <w:szCs w:val="24"/>
          <w:u w:val="single"/>
          <w:lang w:bidi="en-US"/>
        </w:rPr>
        <w:t>Process</w:t>
      </w:r>
    </w:p>
    <w:p w14:paraId="2A0D8A84" w14:textId="77777777" w:rsidR="00EB21B1" w:rsidRPr="00EB21B1" w:rsidRDefault="00EB21B1" w:rsidP="00EB21B1">
      <w:pPr>
        <w:numPr>
          <w:ilvl w:val="0"/>
          <w:numId w:val="22"/>
        </w:numPr>
        <w:spacing w:after="0"/>
        <w:ind w:left="284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Individuals requesting an Appeal must submit their request in writing to the AO, within the required timeline, and include the following:</w:t>
      </w:r>
    </w:p>
    <w:p w14:paraId="6487B435" w14:textId="77777777" w:rsidR="00EB21B1" w:rsidRPr="00EB21B1" w:rsidRDefault="00EB21B1" w:rsidP="00EB21B1">
      <w:pPr>
        <w:numPr>
          <w:ilvl w:val="1"/>
          <w:numId w:val="15"/>
        </w:numPr>
        <w:spacing w:after="0"/>
        <w:ind w:left="567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Contact information and status of the appellant;</w:t>
      </w:r>
    </w:p>
    <w:p w14:paraId="42B5B4A8" w14:textId="77777777" w:rsidR="00D41851" w:rsidRDefault="00D41851" w:rsidP="00EB21B1">
      <w:pPr>
        <w:numPr>
          <w:ilvl w:val="1"/>
          <w:numId w:val="15"/>
        </w:numPr>
        <w:spacing w:after="0"/>
        <w:ind w:left="567" w:hanging="284"/>
        <w:jc w:val="both"/>
        <w:rPr>
          <w:rFonts w:eastAsia="Calibri" w:cstheme="minorHAnsi"/>
          <w:color w:val="000000"/>
          <w:lang w:bidi="en-US"/>
        </w:rPr>
      </w:pPr>
      <w:r>
        <w:rPr>
          <w:rFonts w:eastAsia="Calibri" w:cstheme="minorHAnsi"/>
          <w:color w:val="000000"/>
          <w:lang w:bidi="en-US"/>
        </w:rPr>
        <w:t>Signed commitment to accept AO ruling</w:t>
      </w:r>
    </w:p>
    <w:p w14:paraId="45192F51" w14:textId="2EE92ED0" w:rsidR="00EB21B1" w:rsidRPr="00EB21B1" w:rsidRDefault="00EB21B1" w:rsidP="00EB21B1">
      <w:pPr>
        <w:numPr>
          <w:ilvl w:val="1"/>
          <w:numId w:val="15"/>
        </w:numPr>
        <w:spacing w:after="0"/>
        <w:ind w:left="567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Name of the respondent and any affected parties, when known to the Appellant;</w:t>
      </w:r>
    </w:p>
    <w:p w14:paraId="72391D00" w14:textId="77777777" w:rsidR="00EB21B1" w:rsidRPr="00EB21B1" w:rsidRDefault="00EB21B1" w:rsidP="00EB21B1">
      <w:pPr>
        <w:numPr>
          <w:ilvl w:val="1"/>
          <w:numId w:val="15"/>
        </w:numPr>
        <w:spacing w:after="0"/>
        <w:ind w:left="567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Date the Appellant was advised of the decision being appealed;</w:t>
      </w:r>
    </w:p>
    <w:p w14:paraId="141A7C64" w14:textId="77777777" w:rsidR="00EB21B1" w:rsidRPr="00EB21B1" w:rsidRDefault="00EB21B1" w:rsidP="00EB21B1">
      <w:pPr>
        <w:numPr>
          <w:ilvl w:val="1"/>
          <w:numId w:val="15"/>
        </w:numPr>
        <w:spacing w:after="0"/>
        <w:ind w:left="567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Basis, grounds and detailed reasons for the appeal;</w:t>
      </w:r>
    </w:p>
    <w:p w14:paraId="5722D7AD" w14:textId="77777777" w:rsidR="00EB21B1" w:rsidRPr="00EB21B1" w:rsidRDefault="00EB21B1" w:rsidP="00EB21B1">
      <w:pPr>
        <w:numPr>
          <w:ilvl w:val="1"/>
          <w:numId w:val="15"/>
        </w:numPr>
        <w:spacing w:after="0"/>
        <w:ind w:left="567" w:hanging="284"/>
        <w:jc w:val="both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>Requested remedy or remedies;</w:t>
      </w:r>
    </w:p>
    <w:p w14:paraId="6EB8EF65" w14:textId="77777777" w:rsidR="00EB21B1" w:rsidRPr="00EB21B1" w:rsidRDefault="00EB21B1" w:rsidP="00EB21B1">
      <w:pPr>
        <w:numPr>
          <w:ilvl w:val="1"/>
          <w:numId w:val="15"/>
        </w:numPr>
        <w:spacing w:after="0"/>
        <w:ind w:left="567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Copy of decision being appealed, or description of decision if written document is not available;</w:t>
      </w:r>
    </w:p>
    <w:p w14:paraId="47C4F6F1" w14:textId="77777777" w:rsidR="00EB21B1" w:rsidRPr="00EB21B1" w:rsidRDefault="00EB21B1" w:rsidP="00EB21B1">
      <w:pPr>
        <w:numPr>
          <w:ilvl w:val="1"/>
          <w:numId w:val="15"/>
        </w:numPr>
        <w:spacing w:after="0"/>
        <w:ind w:left="567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Any evidence that supports the grounds or basis for Appeal; and</w:t>
      </w:r>
    </w:p>
    <w:p w14:paraId="6A426220" w14:textId="73242F19" w:rsidR="00EB21B1" w:rsidRPr="00EB21B1" w:rsidRDefault="00EB21B1" w:rsidP="00EB21B1">
      <w:pPr>
        <w:numPr>
          <w:ilvl w:val="1"/>
          <w:numId w:val="15"/>
        </w:numPr>
        <w:ind w:left="567" w:hanging="284"/>
        <w:jc w:val="both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 xml:space="preserve">An administration fee of </w:t>
      </w:r>
      <w:r w:rsidR="00FF6D6B">
        <w:rPr>
          <w:rFonts w:eastAsia="Calibri" w:cstheme="minorHAnsi"/>
          <w:lang w:bidi="en-US"/>
        </w:rPr>
        <w:t>F</w:t>
      </w:r>
      <w:r w:rsidR="00FF6D6B" w:rsidRPr="00EB21B1">
        <w:rPr>
          <w:rFonts w:eastAsia="Calibri" w:cstheme="minorHAnsi"/>
          <w:lang w:bidi="en-US"/>
        </w:rPr>
        <w:t xml:space="preserve">ive </w:t>
      </w:r>
      <w:r w:rsidR="00FF6D6B">
        <w:rPr>
          <w:rFonts w:eastAsia="Calibri" w:cstheme="minorHAnsi"/>
          <w:lang w:bidi="en-US"/>
        </w:rPr>
        <w:t>H</w:t>
      </w:r>
      <w:r w:rsidR="00FF6D6B" w:rsidRPr="00EB21B1">
        <w:rPr>
          <w:rFonts w:eastAsia="Calibri" w:cstheme="minorHAnsi"/>
          <w:lang w:bidi="en-US"/>
        </w:rPr>
        <w:t xml:space="preserve">undred </w:t>
      </w:r>
      <w:r w:rsidR="00FF6D6B">
        <w:rPr>
          <w:rFonts w:eastAsia="Calibri" w:cstheme="minorHAnsi"/>
          <w:lang w:bidi="en-US"/>
        </w:rPr>
        <w:t>D</w:t>
      </w:r>
      <w:r w:rsidRPr="00EB21B1">
        <w:rPr>
          <w:rFonts w:eastAsia="Calibri" w:cstheme="minorHAnsi"/>
          <w:lang w:bidi="en-US"/>
        </w:rPr>
        <w:t>ollars ($500</w:t>
      </w:r>
      <w:r w:rsidR="00FF6D6B">
        <w:rPr>
          <w:rFonts w:eastAsia="Calibri" w:cstheme="minorHAnsi"/>
          <w:lang w:bidi="en-US"/>
        </w:rPr>
        <w:t>.00</w:t>
      </w:r>
      <w:r w:rsidRPr="00EB21B1">
        <w:rPr>
          <w:rFonts w:eastAsia="Calibri" w:cstheme="minorHAnsi"/>
          <w:lang w:bidi="en-US"/>
        </w:rPr>
        <w:t>).</w:t>
      </w:r>
    </w:p>
    <w:p w14:paraId="0FBB5905" w14:textId="4E2FC133" w:rsidR="00EB21B1" w:rsidRPr="00EB21B1" w:rsidRDefault="00EB21B1" w:rsidP="00EB21B1">
      <w:pPr>
        <w:numPr>
          <w:ilvl w:val="0"/>
          <w:numId w:val="23"/>
        </w:numPr>
        <w:spacing w:after="0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 xml:space="preserve">Upon receiving the </w:t>
      </w:r>
      <w:r w:rsidR="004F37E3">
        <w:rPr>
          <w:rFonts w:eastAsia="Calibri" w:cstheme="minorHAnsi"/>
          <w:color w:val="000000"/>
          <w:lang w:bidi="en-US"/>
        </w:rPr>
        <w:t>request for an</w:t>
      </w:r>
      <w:r w:rsidRPr="00EB21B1">
        <w:rPr>
          <w:rFonts w:eastAsia="Calibri" w:cstheme="minorHAnsi"/>
          <w:color w:val="000000"/>
          <w:lang w:bidi="en-US"/>
        </w:rPr>
        <w:t xml:space="preserve"> Appeal, the </w:t>
      </w:r>
      <w:r w:rsidR="004F37E3">
        <w:rPr>
          <w:rFonts w:eastAsia="Calibri" w:cstheme="minorHAnsi"/>
          <w:color w:val="000000"/>
          <w:lang w:bidi="en-US"/>
        </w:rPr>
        <w:t xml:space="preserve">administration </w:t>
      </w:r>
      <w:r w:rsidRPr="00EB21B1">
        <w:rPr>
          <w:rFonts w:eastAsia="Calibri" w:cstheme="minorHAnsi"/>
          <w:color w:val="000000"/>
          <w:lang w:bidi="en-US"/>
        </w:rPr>
        <w:t>fee, and all other information, the AO has the following responsibilities:</w:t>
      </w:r>
    </w:p>
    <w:p w14:paraId="2152BDCE" w14:textId="77777777" w:rsidR="00EB21B1" w:rsidRPr="00EB21B1" w:rsidRDefault="00EB21B1" w:rsidP="00EB21B1">
      <w:pPr>
        <w:numPr>
          <w:ilvl w:val="0"/>
          <w:numId w:val="4"/>
        </w:numPr>
        <w:spacing w:after="0"/>
        <w:ind w:left="567" w:hanging="283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Determine if the appeal falls under the scope of this Policy;</w:t>
      </w:r>
    </w:p>
    <w:p w14:paraId="7E484905" w14:textId="77777777" w:rsidR="00EB21B1" w:rsidRPr="00EB21B1" w:rsidRDefault="00EB21B1" w:rsidP="00EB21B1">
      <w:pPr>
        <w:numPr>
          <w:ilvl w:val="0"/>
          <w:numId w:val="4"/>
        </w:numPr>
        <w:spacing w:after="0"/>
        <w:ind w:left="567" w:hanging="283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Determine if the appeal was submitted in a timely manner; and</w:t>
      </w:r>
    </w:p>
    <w:p w14:paraId="36264612" w14:textId="29B779FF" w:rsidR="00EB21B1" w:rsidRPr="00EB21B1" w:rsidRDefault="00EB21B1" w:rsidP="00EB21B1">
      <w:pPr>
        <w:numPr>
          <w:ilvl w:val="0"/>
          <w:numId w:val="4"/>
        </w:numPr>
        <w:ind w:left="567" w:hanging="283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 xml:space="preserve">Decide whether there </w:t>
      </w:r>
      <w:r w:rsidR="00F165DA" w:rsidRPr="00EB21B1">
        <w:rPr>
          <w:rFonts w:eastAsia="Calibri" w:cstheme="minorHAnsi"/>
          <w:color w:val="000000"/>
          <w:lang w:bidi="en-US"/>
        </w:rPr>
        <w:t>are</w:t>
      </w:r>
      <w:r w:rsidRPr="00EB21B1">
        <w:rPr>
          <w:rFonts w:eastAsia="Calibri" w:cstheme="minorHAnsi"/>
          <w:color w:val="000000"/>
          <w:lang w:bidi="en-US"/>
        </w:rPr>
        <w:t xml:space="preserve"> sufficient and logical grounds for the appeal</w:t>
      </w:r>
      <w:r w:rsidR="004F37E3">
        <w:rPr>
          <w:rFonts w:eastAsia="Calibri" w:cstheme="minorHAnsi"/>
          <w:color w:val="000000"/>
          <w:lang w:bidi="en-US"/>
        </w:rPr>
        <w:t xml:space="preserve"> to be heard</w:t>
      </w:r>
      <w:r w:rsidRPr="00EB21B1">
        <w:rPr>
          <w:rFonts w:eastAsia="Calibri" w:cstheme="minorHAnsi"/>
          <w:color w:val="000000"/>
          <w:lang w:bidi="en-US"/>
        </w:rPr>
        <w:t>.</w:t>
      </w:r>
    </w:p>
    <w:p w14:paraId="755AE0C0" w14:textId="14A6DB5F" w:rsidR="00EB21B1" w:rsidRPr="00EB21B1" w:rsidRDefault="00EB21B1" w:rsidP="00EB21B1">
      <w:pPr>
        <w:numPr>
          <w:ilvl w:val="0"/>
          <w:numId w:val="23"/>
        </w:numPr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lang w:bidi="en-US"/>
        </w:rPr>
        <w:t>If the appeal is denied on the basis of insufficient grounds, because it was not submitted in a timely manner, or because it did not fall under the scope of this Policy, the Appellant will be notified in writing</w:t>
      </w:r>
      <w:r w:rsidR="004F37E3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 xml:space="preserve">of the reasons for </w:t>
      </w:r>
      <w:r w:rsidR="004F37E3" w:rsidRPr="00EB21B1">
        <w:rPr>
          <w:rFonts w:eastAsia="Calibri" w:cstheme="minorHAnsi"/>
          <w:lang w:bidi="en-US"/>
        </w:rPr>
        <w:t>th</w:t>
      </w:r>
      <w:r w:rsidR="004F37E3">
        <w:rPr>
          <w:rFonts w:eastAsia="Calibri" w:cstheme="minorHAnsi"/>
          <w:lang w:bidi="en-US"/>
        </w:rPr>
        <w:t>at</w:t>
      </w:r>
      <w:r w:rsidR="004F37E3" w:rsidRPr="00EB21B1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>decision.</w:t>
      </w:r>
      <w:r w:rsidR="00FF6D6B">
        <w:rPr>
          <w:rFonts w:eastAsia="Calibri" w:cstheme="minorHAnsi"/>
          <w:lang w:bidi="en-US"/>
        </w:rPr>
        <w:t xml:space="preserve"> </w:t>
      </w:r>
      <w:r w:rsidRPr="00EB21B1">
        <w:rPr>
          <w:rFonts w:eastAsia="Calibri" w:cstheme="minorHAnsi"/>
          <w:lang w:bidi="en-US"/>
        </w:rPr>
        <w:t xml:space="preserve"> The fee will be retained by the FWCWS and th</w:t>
      </w:r>
      <w:r w:rsidR="004F37E3">
        <w:rPr>
          <w:rFonts w:eastAsia="Calibri" w:cstheme="minorHAnsi"/>
          <w:lang w:bidi="en-US"/>
        </w:rPr>
        <w:t>e</w:t>
      </w:r>
      <w:r w:rsidRPr="00EB21B1">
        <w:rPr>
          <w:rFonts w:eastAsia="Calibri" w:cstheme="minorHAnsi"/>
          <w:lang w:bidi="en-US"/>
        </w:rPr>
        <w:t xml:space="preserve"> decision may not be appealed.</w:t>
      </w:r>
    </w:p>
    <w:p w14:paraId="3A6D1924" w14:textId="603A7F49" w:rsidR="00EB21B1" w:rsidRPr="00EB21B1" w:rsidRDefault="00EB21B1" w:rsidP="00EB21B1">
      <w:pPr>
        <w:numPr>
          <w:ilvl w:val="0"/>
          <w:numId w:val="23"/>
        </w:numPr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lang w:bidi="en-US"/>
        </w:rPr>
        <w:t xml:space="preserve">If the AO is satisfied there are sufficient grounds for an appeal, the AO will convene an Appeal </w:t>
      </w:r>
      <w:r w:rsidRPr="00EB21B1">
        <w:rPr>
          <w:rFonts w:eastAsia="Calibri" w:cstheme="minorHAnsi"/>
          <w:color w:val="000000"/>
          <w:lang w:bidi="en-US"/>
        </w:rPr>
        <w:t xml:space="preserve">Panel, consisting of </w:t>
      </w:r>
      <w:r w:rsidR="00FF6D6B" w:rsidRPr="00EB21B1">
        <w:rPr>
          <w:rFonts w:eastAsia="Calibri" w:cstheme="minorHAnsi"/>
          <w:color w:val="000000"/>
          <w:lang w:bidi="en-US"/>
        </w:rPr>
        <w:t>the</w:t>
      </w:r>
      <w:r w:rsidR="00FF6D6B">
        <w:rPr>
          <w:rFonts w:eastAsia="Calibri" w:cstheme="minorHAnsi"/>
          <w:color w:val="000000"/>
          <w:lang w:bidi="en-US"/>
        </w:rPr>
        <w:t xml:space="preserve"> AO</w:t>
      </w:r>
      <w:r w:rsidRPr="00EB21B1">
        <w:rPr>
          <w:rFonts w:eastAsia="Calibri" w:cstheme="minorHAnsi"/>
          <w:color w:val="000000"/>
          <w:lang w:bidi="en-US"/>
        </w:rPr>
        <w:t>, one Director</w:t>
      </w:r>
      <w:r w:rsidR="00FF6D6B">
        <w:rPr>
          <w:rFonts w:eastAsia="Calibri" w:cstheme="minorHAnsi"/>
          <w:color w:val="000000"/>
          <w:lang w:bidi="en-US"/>
        </w:rPr>
        <w:t>,</w:t>
      </w:r>
      <w:r w:rsidRPr="00EB21B1">
        <w:rPr>
          <w:rFonts w:eastAsia="Calibri" w:cstheme="minorHAnsi"/>
          <w:color w:val="000000"/>
          <w:lang w:bidi="en-US"/>
        </w:rPr>
        <w:t xml:space="preserve"> and one other independent Member selected by the Respondent. </w:t>
      </w:r>
    </w:p>
    <w:p w14:paraId="066A496E" w14:textId="3F320111" w:rsidR="00EB21B1" w:rsidRPr="00EB21B1" w:rsidRDefault="00EB21B1" w:rsidP="00EB21B1">
      <w:pPr>
        <w:numPr>
          <w:ilvl w:val="0"/>
          <w:numId w:val="23"/>
        </w:numPr>
        <w:jc w:val="both"/>
        <w:rPr>
          <w:rFonts w:eastAsia="Times New Roman" w:cstheme="minorHAnsi"/>
          <w:bCs/>
          <w:lang w:val="en-GB" w:eastAsia="x-none"/>
        </w:rPr>
      </w:pPr>
      <w:r w:rsidRPr="00EB21B1">
        <w:rPr>
          <w:rFonts w:eastAsia="Calibri" w:cstheme="minorHAnsi"/>
          <w:lang w:bidi="en-US"/>
        </w:rPr>
        <w:t>The AO</w:t>
      </w:r>
      <w:r w:rsidR="00FF6D6B">
        <w:rPr>
          <w:rFonts w:eastAsia="Calibri" w:cstheme="minorHAnsi"/>
          <w:lang w:bidi="en-US"/>
        </w:rPr>
        <w:t>,</w:t>
      </w:r>
      <w:r w:rsidR="00FF6D6B" w:rsidRPr="00FF6D6B">
        <w:rPr>
          <w:rFonts w:eastAsia="Calibri" w:cstheme="minorHAnsi"/>
          <w:lang w:bidi="en-US"/>
        </w:rPr>
        <w:t xml:space="preserve"> </w:t>
      </w:r>
      <w:r w:rsidR="00FF6D6B" w:rsidRPr="00EB21B1">
        <w:rPr>
          <w:rFonts w:eastAsia="Calibri" w:cstheme="minorHAnsi"/>
          <w:lang w:bidi="en-US"/>
        </w:rPr>
        <w:t>at their sole discretion</w:t>
      </w:r>
      <w:r w:rsidR="00FF6D6B">
        <w:rPr>
          <w:rFonts w:eastAsia="Calibri" w:cstheme="minorHAnsi"/>
          <w:lang w:bidi="en-US"/>
        </w:rPr>
        <w:t>,</w:t>
      </w:r>
      <w:r w:rsidRPr="00EB21B1">
        <w:rPr>
          <w:rFonts w:eastAsia="Calibri" w:cstheme="minorHAnsi"/>
          <w:lang w:bidi="en-US"/>
        </w:rPr>
        <w:t xml:space="preserve"> will identify any Affected Parties</w:t>
      </w:r>
      <w:r w:rsidR="004F37E3">
        <w:rPr>
          <w:rFonts w:eastAsia="Calibri" w:cstheme="minorHAnsi"/>
          <w:lang w:bidi="en-US"/>
        </w:rPr>
        <w:t>,</w:t>
      </w:r>
      <w:r w:rsidRPr="00EB21B1">
        <w:rPr>
          <w:rFonts w:eastAsia="Calibri" w:cstheme="minorHAnsi"/>
          <w:lang w:bidi="en-US"/>
        </w:rPr>
        <w:t xml:space="preserve"> and if necessary, </w:t>
      </w:r>
      <w:r w:rsidRPr="00EB21B1">
        <w:rPr>
          <w:rFonts w:eastAsia="Times New Roman" w:cstheme="minorHAnsi"/>
          <w:bCs/>
          <w:lang w:val="x-none" w:eastAsia="x-none"/>
        </w:rPr>
        <w:t xml:space="preserve">notify </w:t>
      </w:r>
      <w:r w:rsidRPr="00EB21B1">
        <w:rPr>
          <w:rFonts w:eastAsia="Times New Roman" w:cstheme="minorHAnsi"/>
          <w:bCs/>
          <w:lang w:eastAsia="x-none"/>
        </w:rPr>
        <w:t>such</w:t>
      </w:r>
      <w:r w:rsidRPr="00EB21B1">
        <w:rPr>
          <w:rFonts w:eastAsia="Times New Roman" w:cstheme="minorHAnsi"/>
          <w:bCs/>
          <w:lang w:val="x-none" w:eastAsia="x-none"/>
        </w:rPr>
        <w:t xml:space="preserve"> Parties that the appeal will be heard. </w:t>
      </w:r>
    </w:p>
    <w:p w14:paraId="368FC226" w14:textId="69BF119D" w:rsidR="00EB21B1" w:rsidRPr="00EB21B1" w:rsidRDefault="00EB21B1" w:rsidP="00EB21B1">
      <w:pPr>
        <w:numPr>
          <w:ilvl w:val="0"/>
          <w:numId w:val="23"/>
        </w:numPr>
        <w:spacing w:after="0"/>
        <w:ind w:left="284" w:hanging="284"/>
        <w:jc w:val="both"/>
        <w:rPr>
          <w:rFonts w:eastAsia="Times New Roman" w:cstheme="minorHAnsi"/>
          <w:bCs/>
          <w:lang w:val="en-GB" w:eastAsia="x-none"/>
        </w:rPr>
      </w:pPr>
      <w:r w:rsidRPr="00EB21B1">
        <w:rPr>
          <w:rFonts w:eastAsia="Times New Roman" w:cstheme="minorHAnsi"/>
          <w:bCs/>
          <w:lang w:val="x-none" w:eastAsia="x-none"/>
        </w:rPr>
        <w:t xml:space="preserve">The </w:t>
      </w:r>
      <w:r w:rsidRPr="00EB21B1">
        <w:rPr>
          <w:rFonts w:eastAsia="Times New Roman" w:cstheme="minorHAnsi"/>
          <w:szCs w:val="24"/>
          <w:lang w:eastAsia="x-none"/>
        </w:rPr>
        <w:t>AO</w:t>
      </w:r>
      <w:r w:rsidRPr="00EB21B1" w:rsidDel="00712EF7">
        <w:rPr>
          <w:rFonts w:eastAsia="Times New Roman" w:cstheme="minorHAnsi"/>
          <w:bCs/>
          <w:lang w:val="x-none" w:eastAsia="x-none"/>
        </w:rPr>
        <w:t xml:space="preserve"> </w:t>
      </w:r>
      <w:r w:rsidRPr="00EB21B1">
        <w:rPr>
          <w:rFonts w:eastAsia="Times New Roman" w:cstheme="minorHAnsi"/>
          <w:bCs/>
          <w:lang w:val="x-none" w:eastAsia="x-none"/>
        </w:rPr>
        <w:t>shall decide the format</w:t>
      </w:r>
      <w:r w:rsidRPr="00EB21B1">
        <w:rPr>
          <w:rFonts w:eastAsia="Times New Roman" w:cstheme="minorHAnsi"/>
          <w:bCs/>
          <w:lang w:eastAsia="x-none"/>
        </w:rPr>
        <w:t>, time and place</w:t>
      </w:r>
      <w:r w:rsidRPr="00EB21B1">
        <w:rPr>
          <w:rFonts w:eastAsia="Times New Roman" w:cstheme="minorHAnsi"/>
          <w:bCs/>
          <w:lang w:val="x-none" w:eastAsia="x-none"/>
        </w:rPr>
        <w:t xml:space="preserve"> under which the appeal will be heard. </w:t>
      </w:r>
      <w:r w:rsidR="00FF6D6B">
        <w:rPr>
          <w:rFonts w:eastAsia="Times New Roman" w:cstheme="minorHAnsi"/>
          <w:bCs/>
          <w:lang w:eastAsia="x-none"/>
        </w:rPr>
        <w:t xml:space="preserve"> </w:t>
      </w:r>
      <w:r w:rsidRPr="00EB21B1">
        <w:rPr>
          <w:rFonts w:eastAsia="Times New Roman" w:cstheme="minorHAnsi"/>
          <w:bCs/>
          <w:lang w:val="x-none" w:eastAsia="x-none"/>
        </w:rPr>
        <w:t xml:space="preserve">This decision is at the sole discretion of the </w:t>
      </w:r>
      <w:r w:rsidR="00B323FB">
        <w:rPr>
          <w:rFonts w:eastAsia="Times New Roman" w:cstheme="minorHAnsi"/>
          <w:szCs w:val="24"/>
          <w:lang w:eastAsia="x-none"/>
        </w:rPr>
        <w:t>AO</w:t>
      </w:r>
      <w:r w:rsidRPr="00EB21B1" w:rsidDel="00712EF7">
        <w:rPr>
          <w:rFonts w:eastAsia="Times New Roman" w:cstheme="minorHAnsi"/>
          <w:bCs/>
          <w:lang w:val="x-none" w:eastAsia="x-none"/>
        </w:rPr>
        <w:t xml:space="preserve"> </w:t>
      </w:r>
      <w:r w:rsidRPr="00EB21B1">
        <w:rPr>
          <w:rFonts w:eastAsia="Times New Roman" w:cstheme="minorHAnsi"/>
          <w:bCs/>
          <w:lang w:val="x-none" w:eastAsia="x-none"/>
        </w:rPr>
        <w:t>and may not be appealed.</w:t>
      </w:r>
      <w:r w:rsidR="00FF6D6B">
        <w:rPr>
          <w:rFonts w:eastAsia="Times New Roman" w:cstheme="minorHAnsi"/>
          <w:bCs/>
          <w:lang w:eastAsia="x-none"/>
        </w:rPr>
        <w:t xml:space="preserve"> </w:t>
      </w:r>
      <w:r w:rsidRPr="00EB21B1">
        <w:rPr>
          <w:rFonts w:eastAsia="Times New Roman" w:cstheme="minorHAnsi"/>
          <w:bCs/>
          <w:lang w:val="x-none" w:eastAsia="x-none"/>
        </w:rPr>
        <w:t xml:space="preserve"> If a Party chooses not to participate in the hearing, the hearing will proceed in any event.</w:t>
      </w:r>
      <w:r w:rsidRPr="00EB21B1">
        <w:rPr>
          <w:rFonts w:eastAsia="Times New Roman" w:cstheme="minorHAnsi"/>
          <w:bCs/>
          <w:lang w:eastAsia="x-none"/>
        </w:rPr>
        <w:t xml:space="preserve"> </w:t>
      </w:r>
      <w:r w:rsidR="00FF6D6B">
        <w:rPr>
          <w:rFonts w:eastAsia="Times New Roman" w:cstheme="minorHAnsi"/>
          <w:bCs/>
          <w:lang w:eastAsia="x-none"/>
        </w:rPr>
        <w:t xml:space="preserve"> </w:t>
      </w:r>
      <w:r w:rsidRPr="00EB21B1">
        <w:rPr>
          <w:rFonts w:eastAsia="Times New Roman" w:cstheme="minorHAnsi"/>
          <w:bCs/>
          <w:lang w:val="en-GB" w:eastAsia="x-none"/>
        </w:rPr>
        <w:t>The format of the hearing may involve:</w:t>
      </w:r>
    </w:p>
    <w:p w14:paraId="441806B1" w14:textId="77777777" w:rsidR="00EB21B1" w:rsidRPr="00EB21B1" w:rsidRDefault="00EB21B1" w:rsidP="00EB21B1">
      <w:pPr>
        <w:numPr>
          <w:ilvl w:val="0"/>
          <w:numId w:val="24"/>
        </w:numPr>
        <w:spacing w:after="0"/>
        <w:jc w:val="both"/>
        <w:rPr>
          <w:rFonts w:eastAsia="Times New Roman" w:cstheme="minorHAnsi"/>
          <w:bCs/>
          <w:lang w:val="en-GB" w:eastAsia="x-none"/>
        </w:rPr>
      </w:pPr>
      <w:r w:rsidRPr="00EB21B1">
        <w:rPr>
          <w:rFonts w:eastAsia="Times New Roman" w:cstheme="minorHAnsi"/>
          <w:bCs/>
          <w:lang w:val="en-GB" w:eastAsia="x-none"/>
        </w:rPr>
        <w:t xml:space="preserve">review of documentary evidence submitted </w:t>
      </w:r>
    </w:p>
    <w:p w14:paraId="68C59ACD" w14:textId="77777777" w:rsidR="00EB21B1" w:rsidRPr="00EB21B1" w:rsidRDefault="00EB21B1" w:rsidP="00EB21B1">
      <w:pPr>
        <w:numPr>
          <w:ilvl w:val="0"/>
          <w:numId w:val="24"/>
        </w:numPr>
        <w:spacing w:after="0"/>
        <w:jc w:val="both"/>
        <w:rPr>
          <w:rFonts w:eastAsia="Times New Roman" w:cstheme="minorHAnsi"/>
          <w:bCs/>
          <w:lang w:val="en-GB" w:eastAsia="x-none"/>
        </w:rPr>
      </w:pPr>
      <w:r w:rsidRPr="00EB21B1">
        <w:rPr>
          <w:rFonts w:eastAsia="Times New Roman" w:cstheme="minorHAnsi"/>
          <w:bCs/>
          <w:lang w:val="en-GB" w:eastAsia="x-none"/>
        </w:rPr>
        <w:t xml:space="preserve">an oral in-person hearing, </w:t>
      </w:r>
    </w:p>
    <w:p w14:paraId="7FD096E4" w14:textId="77777777" w:rsidR="00EB21B1" w:rsidRPr="00EB21B1" w:rsidRDefault="00EB21B1" w:rsidP="00EB21B1">
      <w:pPr>
        <w:numPr>
          <w:ilvl w:val="0"/>
          <w:numId w:val="24"/>
        </w:numPr>
        <w:spacing w:after="0"/>
        <w:jc w:val="both"/>
        <w:rPr>
          <w:rFonts w:eastAsia="Times New Roman" w:cstheme="minorHAnsi"/>
          <w:bCs/>
          <w:lang w:val="en-GB" w:eastAsia="x-none"/>
        </w:rPr>
      </w:pPr>
      <w:r w:rsidRPr="00EB21B1">
        <w:rPr>
          <w:rFonts w:eastAsia="Times New Roman" w:cstheme="minorHAnsi"/>
          <w:bCs/>
          <w:lang w:val="en-GB" w:eastAsia="x-none"/>
        </w:rPr>
        <w:t>an oral hearing by telephone or other electronic means, or</w:t>
      </w:r>
    </w:p>
    <w:p w14:paraId="0039A2AA" w14:textId="77777777" w:rsidR="00EB21B1" w:rsidRPr="00EB21B1" w:rsidRDefault="00EB21B1" w:rsidP="00EB21B1">
      <w:pPr>
        <w:numPr>
          <w:ilvl w:val="0"/>
          <w:numId w:val="24"/>
        </w:numPr>
        <w:ind w:left="714" w:hanging="357"/>
        <w:jc w:val="both"/>
        <w:rPr>
          <w:rFonts w:eastAsia="Times New Roman" w:cstheme="minorHAnsi"/>
          <w:bCs/>
          <w:lang w:val="en-GB" w:eastAsia="x-none"/>
        </w:rPr>
      </w:pPr>
      <w:r w:rsidRPr="00EB21B1">
        <w:rPr>
          <w:rFonts w:eastAsia="Times New Roman" w:cstheme="minorHAnsi"/>
          <w:bCs/>
          <w:lang w:val="en-GB" w:eastAsia="x-none"/>
        </w:rPr>
        <w:t xml:space="preserve"> a combination of these methods. </w:t>
      </w:r>
    </w:p>
    <w:p w14:paraId="3E2214B9" w14:textId="69D123B9" w:rsidR="00EB21B1" w:rsidRPr="00EB21B1" w:rsidRDefault="00EB21B1" w:rsidP="00EB21B1">
      <w:pPr>
        <w:numPr>
          <w:ilvl w:val="0"/>
          <w:numId w:val="25"/>
        </w:numPr>
        <w:spacing w:after="0"/>
        <w:ind w:left="284" w:hanging="284"/>
        <w:jc w:val="both"/>
        <w:rPr>
          <w:rFonts w:eastAsia="Times New Roman" w:cstheme="minorHAnsi"/>
          <w:bCs/>
          <w:lang w:val="en-GB" w:eastAsia="x-none"/>
        </w:rPr>
      </w:pPr>
      <w:r w:rsidRPr="00EB21B1">
        <w:rPr>
          <w:rFonts w:eastAsia="Times New Roman" w:cstheme="minorHAnsi"/>
          <w:bCs/>
          <w:lang w:val="en-GB" w:eastAsia="x-none"/>
        </w:rPr>
        <w:lastRenderedPageBreak/>
        <w:t>The hearing will be governed by the procedures that the Panel deem appropriate in the circumstances, provided that</w:t>
      </w:r>
      <w:r w:rsidR="001D0D0C">
        <w:rPr>
          <w:rFonts w:eastAsia="Times New Roman" w:cstheme="minorHAnsi"/>
          <w:bCs/>
          <w:lang w:val="en-GB" w:eastAsia="x-none"/>
        </w:rPr>
        <w:t>:</w:t>
      </w:r>
    </w:p>
    <w:p w14:paraId="3C81C331" w14:textId="77777777" w:rsidR="00EB21B1" w:rsidRPr="00EB21B1" w:rsidRDefault="00EB21B1" w:rsidP="00EB21B1">
      <w:pPr>
        <w:widowControl w:val="0"/>
        <w:numPr>
          <w:ilvl w:val="0"/>
          <w:numId w:val="26"/>
        </w:numPr>
        <w:tabs>
          <w:tab w:val="left" w:pos="-1440"/>
        </w:tabs>
        <w:spacing w:after="0"/>
        <w:ind w:left="567" w:hanging="283"/>
        <w:jc w:val="both"/>
        <w:rPr>
          <w:rFonts w:eastAsia="Calibri" w:cstheme="minorHAnsi"/>
          <w:lang w:val="en-GB" w:bidi="en-US"/>
        </w:rPr>
      </w:pPr>
      <w:r w:rsidRPr="00EB21B1">
        <w:rPr>
          <w:rFonts w:eastAsia="Calibri" w:cstheme="minorHAnsi"/>
          <w:lang w:val="en-GB" w:bidi="en-US"/>
        </w:rPr>
        <w:t>The hearing will be held within a timeline determined by the AO.</w:t>
      </w:r>
    </w:p>
    <w:p w14:paraId="592A09B0" w14:textId="77777777" w:rsidR="00EB21B1" w:rsidRPr="00EB21B1" w:rsidRDefault="00EB21B1" w:rsidP="00EB21B1">
      <w:pPr>
        <w:widowControl w:val="0"/>
        <w:numPr>
          <w:ilvl w:val="0"/>
          <w:numId w:val="26"/>
        </w:numPr>
        <w:tabs>
          <w:tab w:val="left" w:pos="-1440"/>
        </w:tabs>
        <w:spacing w:after="0"/>
        <w:ind w:left="567" w:hanging="283"/>
        <w:jc w:val="both"/>
        <w:rPr>
          <w:rFonts w:eastAsia="Calibri" w:cstheme="minorHAnsi"/>
          <w:lang w:val="en-GB" w:bidi="en-US"/>
        </w:rPr>
      </w:pPr>
      <w:r w:rsidRPr="00EB21B1">
        <w:rPr>
          <w:rFonts w:eastAsia="Calibri" w:cstheme="minorHAnsi"/>
          <w:lang w:val="en-GB" w:bidi="en-US"/>
        </w:rPr>
        <w:t>The Parties will be given reasonable notice of the day, time and place of an oral in-person hearing or oral hearing by telephone or electronic communications.</w:t>
      </w:r>
    </w:p>
    <w:p w14:paraId="3CC28B71" w14:textId="77777777" w:rsidR="00EB21B1" w:rsidRPr="00EB21B1" w:rsidRDefault="00EB21B1" w:rsidP="00EB21B1">
      <w:pPr>
        <w:widowControl w:val="0"/>
        <w:numPr>
          <w:ilvl w:val="0"/>
          <w:numId w:val="26"/>
        </w:numPr>
        <w:tabs>
          <w:tab w:val="left" w:pos="-1440"/>
        </w:tabs>
        <w:ind w:left="568" w:hanging="284"/>
        <w:jc w:val="both"/>
        <w:rPr>
          <w:rFonts w:eastAsia="Calibri" w:cstheme="minorHAnsi"/>
          <w:lang w:val="en-GB" w:bidi="en-US"/>
        </w:rPr>
      </w:pPr>
      <w:r w:rsidRPr="00EB21B1">
        <w:rPr>
          <w:rFonts w:eastAsia="Calibri" w:cstheme="minorHAnsi"/>
          <w:lang w:val="en-GB" w:bidi="en-US"/>
        </w:rPr>
        <w:t>Copies of any written documents which the parties wish to have the Panel consider will be provided to all Parties in advance of the hearing.</w:t>
      </w:r>
    </w:p>
    <w:p w14:paraId="0E6C341D" w14:textId="77777777" w:rsidR="00EB21B1" w:rsidRPr="00EB21B1" w:rsidRDefault="00EB21B1" w:rsidP="00EB21B1">
      <w:pPr>
        <w:widowControl w:val="0"/>
        <w:numPr>
          <w:ilvl w:val="0"/>
          <w:numId w:val="27"/>
        </w:numPr>
        <w:tabs>
          <w:tab w:val="left" w:pos="-1440"/>
        </w:tabs>
        <w:ind w:left="284" w:hanging="284"/>
        <w:jc w:val="both"/>
        <w:rPr>
          <w:rFonts w:eastAsia="Calibri" w:cstheme="minorHAnsi"/>
          <w:lang w:val="en-GB" w:bidi="en-US"/>
        </w:rPr>
      </w:pPr>
      <w:r w:rsidRPr="00EB21B1">
        <w:rPr>
          <w:rFonts w:eastAsia="Calibri" w:cstheme="minorHAnsi"/>
          <w:color w:val="000000"/>
          <w:lang w:bidi="en-US"/>
        </w:rPr>
        <w:t>The Parties may be accompanied by a representative, advisor, or legal counsel at their own expense.</w:t>
      </w:r>
    </w:p>
    <w:p w14:paraId="6817E9A4" w14:textId="7C583796" w:rsidR="00EB21B1" w:rsidRPr="00EB21B1" w:rsidRDefault="00EB21B1" w:rsidP="00EB21B1">
      <w:pPr>
        <w:widowControl w:val="0"/>
        <w:numPr>
          <w:ilvl w:val="0"/>
          <w:numId w:val="27"/>
        </w:numPr>
        <w:tabs>
          <w:tab w:val="left" w:pos="-1440"/>
        </w:tabs>
        <w:ind w:left="284" w:hanging="284"/>
        <w:jc w:val="both"/>
        <w:rPr>
          <w:rFonts w:eastAsia="Calibri" w:cstheme="minorHAnsi"/>
          <w:lang w:val="en-GB" w:bidi="en-US"/>
        </w:rPr>
      </w:pPr>
      <w:r w:rsidRPr="00EB21B1">
        <w:rPr>
          <w:rFonts w:eastAsia="Times New Roman" w:cstheme="minorHAnsi"/>
          <w:bCs/>
          <w:lang w:eastAsia="x-none"/>
        </w:rPr>
        <w:t>The Panel may obtain independent or legal advice</w:t>
      </w:r>
      <w:r w:rsidR="00797962">
        <w:rPr>
          <w:rFonts w:eastAsia="Times New Roman" w:cstheme="minorHAnsi"/>
          <w:bCs/>
          <w:lang w:eastAsia="x-none"/>
        </w:rPr>
        <w:t xml:space="preserve"> as it deems appropriate </w:t>
      </w:r>
      <w:r w:rsidR="0047316F">
        <w:rPr>
          <w:rFonts w:eastAsia="Times New Roman" w:cstheme="minorHAnsi"/>
          <w:bCs/>
          <w:lang w:eastAsia="x-none"/>
        </w:rPr>
        <w:t>and at its sole discretion</w:t>
      </w:r>
      <w:r w:rsidRPr="00EB21B1">
        <w:rPr>
          <w:rFonts w:eastAsia="Times New Roman" w:cstheme="minorHAnsi"/>
          <w:bCs/>
          <w:lang w:eastAsia="x-none"/>
        </w:rPr>
        <w:t>.</w:t>
      </w:r>
    </w:p>
    <w:p w14:paraId="786B1FC0" w14:textId="69F1C8BE" w:rsidR="00EB21B1" w:rsidRPr="00EB21B1" w:rsidRDefault="00EB21B1" w:rsidP="00EB21B1">
      <w:pPr>
        <w:widowControl w:val="0"/>
        <w:numPr>
          <w:ilvl w:val="0"/>
          <w:numId w:val="27"/>
        </w:numPr>
        <w:tabs>
          <w:tab w:val="left" w:pos="-1440"/>
        </w:tabs>
        <w:ind w:left="284" w:hanging="284"/>
        <w:jc w:val="both"/>
        <w:rPr>
          <w:rFonts w:eastAsia="Calibri" w:cstheme="minorHAnsi"/>
          <w:lang w:val="en-GB" w:bidi="en-US"/>
        </w:rPr>
      </w:pPr>
      <w:r w:rsidRPr="00EB21B1">
        <w:rPr>
          <w:rFonts w:eastAsia="Calibri" w:cstheme="minorHAnsi"/>
          <w:lang w:val="en-GB" w:bidi="en-US"/>
        </w:rPr>
        <w:t xml:space="preserve">If a decision </w:t>
      </w:r>
      <w:r w:rsidR="004F37E3">
        <w:rPr>
          <w:rFonts w:eastAsia="Calibri" w:cstheme="minorHAnsi"/>
          <w:lang w:val="en-GB" w:bidi="en-US"/>
        </w:rPr>
        <w:t>o</w:t>
      </w:r>
      <w:r w:rsidRPr="00EB21B1">
        <w:rPr>
          <w:rFonts w:eastAsia="Calibri" w:cstheme="minorHAnsi"/>
          <w:lang w:val="en-GB" w:bidi="en-US"/>
        </w:rPr>
        <w:t>n the Appeal may affect another party</w:t>
      </w:r>
      <w:r w:rsidR="004F37E3">
        <w:rPr>
          <w:rFonts w:eastAsia="Calibri" w:cstheme="minorHAnsi"/>
          <w:lang w:val="en-GB" w:bidi="en-US"/>
        </w:rPr>
        <w:t>,</w:t>
      </w:r>
      <w:r w:rsidRPr="00EB21B1">
        <w:rPr>
          <w:rFonts w:eastAsia="Calibri" w:cstheme="minorHAnsi"/>
          <w:lang w:val="en-GB" w:bidi="en-US"/>
        </w:rPr>
        <w:t xml:space="preserve"> to the extent that the other party would have recourse to an appeal in their own right under this Policy, that party may become </w:t>
      </w:r>
      <w:r w:rsidR="004F37E3">
        <w:rPr>
          <w:rFonts w:eastAsia="Calibri" w:cstheme="minorHAnsi"/>
          <w:lang w:val="en-GB" w:bidi="en-US"/>
        </w:rPr>
        <w:t>P</w:t>
      </w:r>
      <w:r w:rsidR="004F37E3" w:rsidRPr="00EB21B1">
        <w:rPr>
          <w:rFonts w:eastAsia="Calibri" w:cstheme="minorHAnsi"/>
          <w:lang w:val="en-GB" w:bidi="en-US"/>
        </w:rPr>
        <w:t xml:space="preserve">arty </w:t>
      </w:r>
      <w:r w:rsidRPr="00EB21B1">
        <w:rPr>
          <w:rFonts w:eastAsia="Calibri" w:cstheme="minorHAnsi"/>
          <w:lang w:val="en-GB" w:bidi="en-US"/>
        </w:rPr>
        <w:t>to the Appeal in question and therefore agree</w:t>
      </w:r>
      <w:r w:rsidR="004F37E3">
        <w:rPr>
          <w:rFonts w:eastAsia="Calibri" w:cstheme="minorHAnsi"/>
          <w:lang w:val="en-GB" w:bidi="en-US"/>
        </w:rPr>
        <w:t>s</w:t>
      </w:r>
      <w:r w:rsidRPr="00EB21B1">
        <w:rPr>
          <w:rFonts w:eastAsia="Calibri" w:cstheme="minorHAnsi"/>
          <w:lang w:val="en-GB" w:bidi="en-US"/>
        </w:rPr>
        <w:t xml:space="preserve"> to be bound by its outcome. </w:t>
      </w:r>
      <w:r w:rsidR="00FF6D6B">
        <w:rPr>
          <w:rFonts w:eastAsia="Calibri" w:cstheme="minorHAnsi"/>
          <w:lang w:val="en-GB" w:bidi="en-US"/>
        </w:rPr>
        <w:t xml:space="preserve"> </w:t>
      </w:r>
      <w:r w:rsidRPr="00EB21B1">
        <w:rPr>
          <w:rFonts w:eastAsia="Calibri" w:cstheme="minorHAnsi"/>
          <w:lang w:val="en-GB" w:bidi="en-US"/>
        </w:rPr>
        <w:t>If th</w:t>
      </w:r>
      <w:r w:rsidR="004F37E3">
        <w:rPr>
          <w:rFonts w:eastAsia="Calibri" w:cstheme="minorHAnsi"/>
          <w:lang w:val="en-GB" w:bidi="en-US"/>
        </w:rPr>
        <w:t>at party</w:t>
      </w:r>
      <w:r w:rsidRPr="00EB21B1">
        <w:rPr>
          <w:rFonts w:eastAsia="Calibri" w:cstheme="minorHAnsi"/>
          <w:lang w:val="en-GB" w:bidi="en-US"/>
        </w:rPr>
        <w:t xml:space="preserve"> opt</w:t>
      </w:r>
      <w:r w:rsidR="004F37E3">
        <w:rPr>
          <w:rFonts w:eastAsia="Calibri" w:cstheme="minorHAnsi"/>
          <w:lang w:val="en-GB" w:bidi="en-US"/>
        </w:rPr>
        <w:t>s</w:t>
      </w:r>
      <w:r w:rsidRPr="00EB21B1">
        <w:rPr>
          <w:rFonts w:eastAsia="Calibri" w:cstheme="minorHAnsi"/>
          <w:lang w:val="en-GB" w:bidi="en-US"/>
        </w:rPr>
        <w:t xml:space="preserve"> not to participate</w:t>
      </w:r>
      <w:r w:rsidR="004F37E3">
        <w:rPr>
          <w:rFonts w:eastAsia="Calibri" w:cstheme="minorHAnsi"/>
          <w:lang w:val="en-GB" w:bidi="en-US"/>
        </w:rPr>
        <w:t xml:space="preserve"> in the Appeal</w:t>
      </w:r>
      <w:r w:rsidRPr="00EB21B1">
        <w:rPr>
          <w:rFonts w:eastAsia="Calibri" w:cstheme="minorHAnsi"/>
          <w:lang w:val="en-GB" w:bidi="en-US"/>
        </w:rPr>
        <w:t xml:space="preserve">, </w:t>
      </w:r>
      <w:r w:rsidR="00FF6D6B">
        <w:rPr>
          <w:rFonts w:eastAsia="Calibri" w:cstheme="minorHAnsi"/>
          <w:lang w:val="en-GB" w:bidi="en-US"/>
        </w:rPr>
        <w:t xml:space="preserve">that party acknowledges </w:t>
      </w:r>
      <w:r w:rsidRPr="00EB21B1">
        <w:rPr>
          <w:rFonts w:eastAsia="Calibri" w:cstheme="minorHAnsi"/>
          <w:lang w:val="en-GB" w:bidi="en-US"/>
        </w:rPr>
        <w:t xml:space="preserve">they </w:t>
      </w:r>
      <w:r w:rsidR="00FF6D6B">
        <w:rPr>
          <w:rFonts w:eastAsia="Calibri" w:cstheme="minorHAnsi"/>
          <w:lang w:val="en-GB" w:bidi="en-US"/>
        </w:rPr>
        <w:t xml:space="preserve">will </w:t>
      </w:r>
      <w:r w:rsidRPr="00EB21B1">
        <w:rPr>
          <w:rFonts w:eastAsia="Calibri" w:cstheme="minorHAnsi"/>
          <w:lang w:val="en-GB" w:bidi="en-US"/>
        </w:rPr>
        <w:t>forego any ability to subsequently appeal the decision.</w:t>
      </w:r>
    </w:p>
    <w:p w14:paraId="40AE0D86" w14:textId="2F798CBC" w:rsidR="00EB21B1" w:rsidRPr="00EB21B1" w:rsidRDefault="00EB21B1" w:rsidP="00EB21B1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lang w:val="en-GB" w:bidi="en-US"/>
        </w:rPr>
        <w:t>The AO may request that other individuals participate and give evidence in any form, including written submissions, orally in-person</w:t>
      </w:r>
      <w:r w:rsidR="004F37E3">
        <w:rPr>
          <w:rFonts w:eastAsia="Calibri" w:cstheme="minorHAnsi"/>
          <w:lang w:val="en-GB" w:bidi="en-US"/>
        </w:rPr>
        <w:t>,</w:t>
      </w:r>
      <w:r w:rsidRPr="00EB21B1">
        <w:rPr>
          <w:rFonts w:eastAsia="Calibri" w:cstheme="minorHAnsi"/>
          <w:lang w:val="en-GB" w:bidi="en-US"/>
        </w:rPr>
        <w:t xml:space="preserve"> or orally by telephone or electronic communications.</w:t>
      </w:r>
    </w:p>
    <w:p w14:paraId="7049A26C" w14:textId="7BAF00EE" w:rsidR="00EB21B1" w:rsidRPr="00EB21B1" w:rsidRDefault="00EB21B1" w:rsidP="00EB21B1">
      <w:pPr>
        <w:widowControl w:val="0"/>
        <w:numPr>
          <w:ilvl w:val="0"/>
          <w:numId w:val="27"/>
        </w:numPr>
        <w:tabs>
          <w:tab w:val="left" w:pos="-1440"/>
        </w:tabs>
        <w:ind w:left="284" w:hanging="284"/>
        <w:jc w:val="both"/>
        <w:rPr>
          <w:rFonts w:eastAsia="Calibri" w:cstheme="minorHAnsi"/>
          <w:lang w:val="en-GB" w:bidi="en-US"/>
        </w:rPr>
      </w:pPr>
      <w:r w:rsidRPr="00EB21B1">
        <w:rPr>
          <w:rFonts w:eastAsia="Calibri" w:cstheme="minorHAnsi"/>
          <w:lang w:bidi="en-US"/>
        </w:rPr>
        <w:t>The AO may allow as evidence at the hearing any oral evidence and document</w:t>
      </w:r>
      <w:r w:rsidR="00FF6D6B">
        <w:rPr>
          <w:rFonts w:eastAsia="Calibri" w:cstheme="minorHAnsi"/>
          <w:lang w:bidi="en-US"/>
        </w:rPr>
        <w:t>ation</w:t>
      </w:r>
      <w:r w:rsidRPr="00EB21B1">
        <w:rPr>
          <w:rFonts w:eastAsia="Calibri" w:cstheme="minorHAnsi"/>
          <w:lang w:bidi="en-US"/>
        </w:rPr>
        <w:t xml:space="preserve"> or thing relevant to the subject matter of the appeal, but may exclude such evidence that is unduly repetitious and shall place such weight on the evidence as </w:t>
      </w:r>
      <w:r w:rsidR="00DF7DE1">
        <w:rPr>
          <w:rFonts w:eastAsia="Calibri" w:cstheme="minorHAnsi"/>
          <w:lang w:bidi="en-US"/>
        </w:rPr>
        <w:t xml:space="preserve">the </w:t>
      </w:r>
      <w:r w:rsidR="004F37E3">
        <w:rPr>
          <w:rFonts w:eastAsia="Calibri" w:cstheme="minorHAnsi"/>
          <w:lang w:bidi="en-US"/>
        </w:rPr>
        <w:t>P</w:t>
      </w:r>
      <w:r w:rsidR="00DF7DE1">
        <w:rPr>
          <w:rFonts w:eastAsia="Calibri" w:cstheme="minorHAnsi"/>
          <w:lang w:bidi="en-US"/>
        </w:rPr>
        <w:t>anel</w:t>
      </w:r>
      <w:r w:rsidRPr="00EB21B1">
        <w:rPr>
          <w:rFonts w:eastAsia="Calibri" w:cstheme="minorHAnsi"/>
          <w:lang w:bidi="en-US"/>
        </w:rPr>
        <w:t xml:space="preserve"> deems appropriate.</w:t>
      </w:r>
    </w:p>
    <w:p w14:paraId="53E8F3C8" w14:textId="03C3977C" w:rsidR="00EB21B1" w:rsidRPr="00EB21B1" w:rsidRDefault="00EB21B1" w:rsidP="00EB21B1">
      <w:pPr>
        <w:widowControl w:val="0"/>
        <w:numPr>
          <w:ilvl w:val="0"/>
          <w:numId w:val="27"/>
        </w:numPr>
        <w:ind w:left="284" w:hanging="284"/>
        <w:jc w:val="both"/>
        <w:rPr>
          <w:rFonts w:eastAsia="Calibri" w:cstheme="minorHAnsi"/>
          <w:lang w:val="en-GB" w:bidi="en-US"/>
        </w:rPr>
      </w:pPr>
      <w:r w:rsidRPr="00EB21B1">
        <w:rPr>
          <w:rFonts w:eastAsia="Calibri" w:cstheme="minorHAnsi"/>
          <w:lang w:val="en-GB" w:bidi="en-US"/>
        </w:rPr>
        <w:t>The decision to uphold or reject the appeal will be up to the AO</w:t>
      </w:r>
      <w:r w:rsidR="00DF7DE1">
        <w:rPr>
          <w:rFonts w:eastAsia="Calibri" w:cstheme="minorHAnsi"/>
          <w:lang w:val="en-GB" w:bidi="en-US"/>
        </w:rPr>
        <w:t xml:space="preserve"> (</w:t>
      </w:r>
      <w:r w:rsidR="000E3FBA">
        <w:rPr>
          <w:rFonts w:eastAsia="Calibri" w:cstheme="minorHAnsi"/>
          <w:lang w:val="en-GB" w:bidi="en-US"/>
        </w:rPr>
        <w:t>or the Panel, if appointed</w:t>
      </w:r>
      <w:r w:rsidR="00DF7DE1">
        <w:rPr>
          <w:rFonts w:eastAsia="Calibri" w:cstheme="minorHAnsi"/>
          <w:lang w:val="en-GB" w:bidi="en-US"/>
        </w:rPr>
        <w:t>)</w:t>
      </w:r>
      <w:r w:rsidRPr="00EB21B1">
        <w:rPr>
          <w:rFonts w:eastAsia="Calibri" w:cstheme="minorHAnsi"/>
          <w:lang w:val="en-GB" w:bidi="en-US"/>
        </w:rPr>
        <w:t>, in their sole discretion.</w:t>
      </w:r>
    </w:p>
    <w:p w14:paraId="2ADD24E3" w14:textId="30C333CA" w:rsidR="00EB21B1" w:rsidRPr="00EB21B1" w:rsidRDefault="00EB21B1" w:rsidP="00EB21B1">
      <w:pPr>
        <w:numPr>
          <w:ilvl w:val="0"/>
          <w:numId w:val="27"/>
        </w:numPr>
        <w:spacing w:after="0"/>
        <w:ind w:left="284" w:hanging="284"/>
        <w:jc w:val="both"/>
        <w:rPr>
          <w:rFonts w:eastAsia="Calibri" w:cstheme="minorHAnsi"/>
          <w:lang w:eastAsia="x-none" w:bidi="en-US"/>
        </w:rPr>
      </w:pPr>
      <w:r w:rsidRPr="00EB21B1">
        <w:rPr>
          <w:rFonts w:eastAsia="Calibri" w:cstheme="minorHAnsi"/>
          <w:color w:val="000000"/>
          <w:lang w:eastAsia="x-none" w:bidi="en-US"/>
        </w:rPr>
        <w:t>The AO</w:t>
      </w:r>
      <w:r w:rsidR="00E1023E">
        <w:rPr>
          <w:rFonts w:eastAsia="Calibri" w:cstheme="minorHAnsi"/>
          <w:color w:val="000000"/>
          <w:lang w:eastAsia="x-none" w:bidi="en-US"/>
        </w:rPr>
        <w:t xml:space="preserve"> </w:t>
      </w:r>
      <w:r w:rsidR="000E3FBA">
        <w:rPr>
          <w:rFonts w:eastAsia="Calibri" w:cstheme="minorHAnsi"/>
          <w:color w:val="000000"/>
          <w:lang w:eastAsia="x-none" w:bidi="en-US"/>
        </w:rPr>
        <w:t>(or Panel)</w:t>
      </w:r>
      <w:r w:rsidRPr="00EB21B1">
        <w:rPr>
          <w:rFonts w:eastAsia="Calibri" w:cstheme="minorHAnsi"/>
          <w:color w:val="000000"/>
          <w:lang w:eastAsia="x-none" w:bidi="en-US"/>
        </w:rPr>
        <w:t xml:space="preserve"> shall issue </w:t>
      </w:r>
      <w:r w:rsidR="004F37E3">
        <w:rPr>
          <w:rFonts w:eastAsia="Calibri" w:cstheme="minorHAnsi"/>
          <w:color w:val="000000"/>
          <w:lang w:eastAsia="x-none" w:bidi="en-US"/>
        </w:rPr>
        <w:t>a</w:t>
      </w:r>
      <w:r w:rsidR="004F37E3" w:rsidRPr="00EB21B1">
        <w:rPr>
          <w:rFonts w:eastAsia="Calibri" w:cstheme="minorHAnsi"/>
          <w:color w:val="000000"/>
          <w:lang w:eastAsia="x-none" w:bidi="en-US"/>
        </w:rPr>
        <w:t xml:space="preserve"> </w:t>
      </w:r>
      <w:r w:rsidRPr="00EB21B1">
        <w:rPr>
          <w:rFonts w:eastAsia="Calibri" w:cstheme="minorHAnsi"/>
          <w:color w:val="000000"/>
          <w:lang w:eastAsia="x-none" w:bidi="en-US"/>
        </w:rPr>
        <w:t xml:space="preserve">decision, in writing and with reasons, within seven (7) days after the </w:t>
      </w:r>
      <w:r w:rsidR="00F165DA" w:rsidRPr="00EB21B1">
        <w:rPr>
          <w:rFonts w:eastAsia="Calibri" w:cstheme="minorHAnsi"/>
          <w:color w:val="000000"/>
          <w:lang w:eastAsia="x-none" w:bidi="en-US"/>
        </w:rPr>
        <w:t>hearing’s</w:t>
      </w:r>
      <w:r w:rsidRPr="00EB21B1">
        <w:rPr>
          <w:rFonts w:eastAsia="Calibri" w:cstheme="minorHAnsi"/>
          <w:color w:val="000000"/>
          <w:lang w:eastAsia="x-none" w:bidi="en-US"/>
        </w:rPr>
        <w:t xml:space="preserve"> conclusion. In making its decision, the AO</w:t>
      </w:r>
      <w:r w:rsidR="000E3FBA">
        <w:rPr>
          <w:rFonts w:eastAsia="Calibri" w:cstheme="minorHAnsi"/>
          <w:color w:val="000000"/>
          <w:lang w:eastAsia="x-none" w:bidi="en-US"/>
        </w:rPr>
        <w:t>/Panel</w:t>
      </w:r>
      <w:r w:rsidRPr="00EB21B1">
        <w:rPr>
          <w:rFonts w:eastAsia="Calibri" w:cstheme="minorHAnsi"/>
          <w:color w:val="000000"/>
          <w:lang w:eastAsia="x-none" w:bidi="en-US"/>
        </w:rPr>
        <w:t xml:space="preserve"> will have no greater authority than that of the original decision-maker. The AO</w:t>
      </w:r>
      <w:r w:rsidR="000E3FBA">
        <w:rPr>
          <w:rFonts w:eastAsia="Calibri" w:cstheme="minorHAnsi"/>
          <w:color w:val="000000"/>
          <w:lang w:eastAsia="x-none" w:bidi="en-US"/>
        </w:rPr>
        <w:t>/Panel</w:t>
      </w:r>
      <w:r w:rsidRPr="00EB21B1">
        <w:rPr>
          <w:rFonts w:eastAsia="Calibri" w:cstheme="minorHAnsi"/>
          <w:color w:val="000000"/>
          <w:lang w:eastAsia="x-none" w:bidi="en-US"/>
        </w:rPr>
        <w:t xml:space="preserve"> may decide to:</w:t>
      </w:r>
    </w:p>
    <w:p w14:paraId="00DCDB28" w14:textId="77777777" w:rsidR="00EB21B1" w:rsidRPr="00EB21B1" w:rsidRDefault="00EB21B1" w:rsidP="00EB21B1">
      <w:pPr>
        <w:numPr>
          <w:ilvl w:val="0"/>
          <w:numId w:val="28"/>
        </w:numPr>
        <w:spacing w:after="0"/>
        <w:ind w:left="567" w:hanging="283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Reject the appeal and confirm the decision being appealed;</w:t>
      </w:r>
    </w:p>
    <w:p w14:paraId="33D033F8" w14:textId="77777777" w:rsidR="00EB21B1" w:rsidRPr="00EB21B1" w:rsidRDefault="00EB21B1" w:rsidP="00EB21B1">
      <w:pPr>
        <w:numPr>
          <w:ilvl w:val="0"/>
          <w:numId w:val="28"/>
        </w:numPr>
        <w:spacing w:after="0"/>
        <w:ind w:left="567" w:hanging="283"/>
        <w:jc w:val="both"/>
        <w:rPr>
          <w:rFonts w:eastAsia="Calibri" w:cstheme="minorHAnsi"/>
          <w:color w:val="000000"/>
          <w:lang w:bidi="en-US"/>
        </w:rPr>
      </w:pPr>
      <w:r w:rsidRPr="00EB21B1">
        <w:rPr>
          <w:rFonts w:eastAsia="Calibri" w:cstheme="minorHAnsi"/>
          <w:color w:val="000000"/>
          <w:lang w:bidi="en-US"/>
        </w:rPr>
        <w:t>Uphold the appeal and refer the matter back to the initial decision-maker for a new decision;</w:t>
      </w:r>
    </w:p>
    <w:p w14:paraId="20AB308F" w14:textId="77777777" w:rsidR="00723DF1" w:rsidRPr="00723DF1" w:rsidRDefault="00EB21B1" w:rsidP="00723DF1">
      <w:pPr>
        <w:numPr>
          <w:ilvl w:val="0"/>
          <w:numId w:val="28"/>
        </w:numPr>
        <w:spacing w:after="0"/>
        <w:ind w:left="567" w:hanging="283"/>
        <w:jc w:val="both"/>
        <w:rPr>
          <w:rFonts w:eastAsia="Calibri" w:cstheme="minorHAnsi"/>
          <w:b/>
          <w:bCs/>
          <w:color w:val="000000"/>
          <w:sz w:val="24"/>
          <w:szCs w:val="24"/>
          <w:lang w:eastAsia="en-CA"/>
        </w:rPr>
      </w:pPr>
      <w:r w:rsidRPr="00EB21B1">
        <w:rPr>
          <w:rFonts w:eastAsia="Calibri" w:cstheme="minorHAnsi"/>
          <w:color w:val="000000"/>
          <w:lang w:bidi="en-US"/>
        </w:rPr>
        <w:t xml:space="preserve">Uphold the appeal and vary the decision; and </w:t>
      </w:r>
    </w:p>
    <w:p w14:paraId="60199614" w14:textId="77777777" w:rsidR="00723DF1" w:rsidRPr="000E3FBA" w:rsidRDefault="00723DF1" w:rsidP="00723DF1">
      <w:pPr>
        <w:numPr>
          <w:ilvl w:val="0"/>
          <w:numId w:val="28"/>
        </w:numPr>
        <w:ind w:left="568" w:hanging="284"/>
        <w:jc w:val="both"/>
        <w:rPr>
          <w:rFonts w:eastAsia="Calibri" w:cstheme="minorHAnsi"/>
          <w:color w:val="000000"/>
          <w:sz w:val="24"/>
          <w:szCs w:val="24"/>
          <w:lang w:eastAsia="en-CA"/>
        </w:rPr>
      </w:pPr>
      <w:r w:rsidRPr="000E3FBA">
        <w:rPr>
          <w:rFonts w:eastAsia="Calibri" w:cstheme="minorHAnsi"/>
          <w:color w:val="000000"/>
          <w:lang w:bidi="en-US"/>
        </w:rPr>
        <w:t>R</w:t>
      </w:r>
      <w:r w:rsidR="00EB21B1" w:rsidRPr="000E3FBA">
        <w:rPr>
          <w:rFonts w:eastAsia="Calibri" w:cstheme="minorHAnsi"/>
          <w:color w:val="000000"/>
          <w:lang w:bidi="en-US"/>
        </w:rPr>
        <w:t>efund the appeal administration fee if the appellant is successful in their appeal.</w:t>
      </w:r>
      <w:r w:rsidR="00426E44" w:rsidRPr="000E3FBA">
        <w:rPr>
          <w:rFonts w:eastAsia="Calibri" w:cstheme="minorHAnsi"/>
          <w:color w:val="000000"/>
          <w:lang w:bidi="en-US"/>
        </w:rPr>
        <w:t xml:space="preserve"> </w:t>
      </w:r>
    </w:p>
    <w:p w14:paraId="7C88C98A" w14:textId="509F69FC" w:rsidR="00EB21B1" w:rsidRPr="00723DF1" w:rsidRDefault="00EB21B1" w:rsidP="00723DF1">
      <w:pPr>
        <w:numPr>
          <w:ilvl w:val="0"/>
          <w:numId w:val="36"/>
        </w:numPr>
        <w:ind w:left="284" w:hanging="284"/>
        <w:jc w:val="both"/>
        <w:rPr>
          <w:rFonts w:eastAsia="Calibri" w:cstheme="minorHAnsi"/>
          <w:b/>
          <w:bCs/>
          <w:color w:val="000000"/>
          <w:sz w:val="24"/>
          <w:szCs w:val="24"/>
          <w:lang w:eastAsia="en-CA"/>
        </w:rPr>
      </w:pPr>
      <w:r w:rsidRPr="00723DF1">
        <w:rPr>
          <w:rFonts w:eastAsia="Calibri" w:cstheme="minorHAnsi"/>
          <w:lang w:bidi="en-US"/>
        </w:rPr>
        <w:t>The AO's written decision, with reasons, will be distributed to all Parties</w:t>
      </w:r>
      <w:r w:rsidR="00DF7DE1" w:rsidRPr="00723DF1">
        <w:rPr>
          <w:rFonts w:eastAsia="Calibri" w:cstheme="minorHAnsi"/>
          <w:lang w:bidi="en-US"/>
        </w:rPr>
        <w:t xml:space="preserve"> to the Appeal</w:t>
      </w:r>
      <w:r w:rsidRPr="00723DF1">
        <w:rPr>
          <w:rFonts w:eastAsia="Calibri" w:cstheme="minorHAnsi"/>
          <w:lang w:bidi="en-US"/>
        </w:rPr>
        <w:t xml:space="preserve">, and the FWCWS Executive. </w:t>
      </w:r>
      <w:r w:rsidR="00DF7DE1" w:rsidRPr="00723DF1">
        <w:rPr>
          <w:rFonts w:eastAsia="Calibri" w:cstheme="minorHAnsi"/>
          <w:lang w:bidi="en-US"/>
        </w:rPr>
        <w:t xml:space="preserve"> </w:t>
      </w:r>
      <w:r w:rsidRPr="00723DF1">
        <w:rPr>
          <w:rFonts w:eastAsia="Calibri" w:cstheme="minorHAnsi"/>
          <w:lang w:bidi="en-US"/>
        </w:rPr>
        <w:t xml:space="preserve">The Panel may first issue a verbal or summary decision soon after the hearing’s conclusion, with the full written decision to be issued thereafter. </w:t>
      </w:r>
    </w:p>
    <w:p w14:paraId="26A8BB48" w14:textId="77777777" w:rsidR="00EB21B1" w:rsidRPr="004C1E12" w:rsidRDefault="00EB21B1" w:rsidP="004C1E12">
      <w:pPr>
        <w:spacing w:after="0"/>
        <w:ind w:left="-6"/>
        <w:rPr>
          <w:rFonts w:eastAsia="Calibri" w:cstheme="minorHAnsi"/>
          <w:b/>
          <w:bCs/>
          <w:color w:val="000000"/>
          <w:sz w:val="24"/>
          <w:szCs w:val="24"/>
          <w:u w:val="single"/>
          <w:lang w:eastAsia="en-CA"/>
        </w:rPr>
      </w:pPr>
      <w:r w:rsidRPr="004C1E12">
        <w:rPr>
          <w:rFonts w:eastAsia="Calibri" w:cstheme="minorHAnsi"/>
          <w:b/>
          <w:bCs/>
          <w:color w:val="000000"/>
          <w:sz w:val="24"/>
          <w:szCs w:val="24"/>
          <w:u w:val="single"/>
          <w:lang w:eastAsia="en-CA"/>
        </w:rPr>
        <w:t>Exceptions</w:t>
      </w:r>
    </w:p>
    <w:p w14:paraId="32256E48" w14:textId="0A6896E8" w:rsidR="00EB21B1" w:rsidRPr="00EB21B1" w:rsidRDefault="00EB21B1" w:rsidP="00EB21B1">
      <w:pPr>
        <w:rPr>
          <w:rFonts w:eastAsia="Calibri" w:cstheme="minorHAnsi"/>
          <w:lang w:eastAsia="x-none" w:bidi="en-US"/>
        </w:rPr>
      </w:pPr>
      <w:r w:rsidRPr="00EB21B1">
        <w:rPr>
          <w:rFonts w:eastAsia="Calibri" w:cstheme="minorHAnsi"/>
          <w:lang w:eastAsia="x-none" w:bidi="en-US"/>
        </w:rPr>
        <w:t xml:space="preserve">If the circumstances of the </w:t>
      </w:r>
      <w:r w:rsidR="00DF7DE1">
        <w:rPr>
          <w:rFonts w:eastAsia="Calibri" w:cstheme="minorHAnsi"/>
          <w:lang w:eastAsia="x-none" w:bidi="en-US"/>
        </w:rPr>
        <w:t>A</w:t>
      </w:r>
      <w:r w:rsidR="00DF7DE1" w:rsidRPr="00EB21B1">
        <w:rPr>
          <w:rFonts w:eastAsia="Calibri" w:cstheme="minorHAnsi"/>
          <w:lang w:eastAsia="x-none" w:bidi="en-US"/>
        </w:rPr>
        <w:t xml:space="preserve">ppeal </w:t>
      </w:r>
      <w:r w:rsidRPr="00EB21B1">
        <w:rPr>
          <w:rFonts w:eastAsia="Calibri" w:cstheme="minorHAnsi"/>
          <w:lang w:eastAsia="x-none" w:bidi="en-US"/>
        </w:rPr>
        <w:t xml:space="preserve">are such that adhering to the timelines outlined by this Policy will not allow a timely resolution to the </w:t>
      </w:r>
      <w:r w:rsidR="00DF7DE1">
        <w:rPr>
          <w:rFonts w:eastAsia="Calibri" w:cstheme="minorHAnsi"/>
          <w:lang w:eastAsia="x-none" w:bidi="en-US"/>
        </w:rPr>
        <w:t>A</w:t>
      </w:r>
      <w:r w:rsidR="00DF7DE1" w:rsidRPr="00EB21B1">
        <w:rPr>
          <w:rFonts w:eastAsia="Calibri" w:cstheme="minorHAnsi"/>
          <w:lang w:eastAsia="x-none" w:bidi="en-US"/>
        </w:rPr>
        <w:t>ppeal</w:t>
      </w:r>
      <w:r w:rsidRPr="00EB21B1">
        <w:rPr>
          <w:rFonts w:eastAsia="Calibri" w:cstheme="minorHAnsi"/>
          <w:lang w:eastAsia="x-none" w:bidi="en-US"/>
        </w:rPr>
        <w:t>, the AO may revise the timelines to provide reasonable accommodation</w:t>
      </w:r>
      <w:r w:rsidR="00DF7DE1">
        <w:rPr>
          <w:rFonts w:eastAsia="Calibri" w:cstheme="minorHAnsi"/>
          <w:lang w:eastAsia="x-none" w:bidi="en-US"/>
        </w:rPr>
        <w:t xml:space="preserve"> of the matter</w:t>
      </w:r>
      <w:r w:rsidRPr="00EB21B1">
        <w:rPr>
          <w:rFonts w:eastAsia="Calibri" w:cstheme="minorHAnsi"/>
          <w:lang w:eastAsia="x-none" w:bidi="en-US"/>
        </w:rPr>
        <w:t>, in their sole discretion.</w:t>
      </w:r>
    </w:p>
    <w:p w14:paraId="252DD6F2" w14:textId="78D8B0C5" w:rsidR="00EB21B1" w:rsidRDefault="00EB21B1" w:rsidP="00EB21B1">
      <w:r w:rsidRPr="00EB21B1">
        <w:rPr>
          <w:rFonts w:ascii="Calibri" w:eastAsia="Calibri" w:hAnsi="Calibri" w:cs="Calibri"/>
          <w:color w:val="000000"/>
          <w:lang w:eastAsia="en-CA"/>
        </w:rPr>
        <w:t>Any other exceptions to this Policy must be approved by unanimous approval of the Directors, and reported to the Members at the Annual General Meeting</w:t>
      </w:r>
      <w:r w:rsidR="00DF7DE1">
        <w:rPr>
          <w:rFonts w:ascii="Calibri" w:eastAsia="Calibri" w:hAnsi="Calibri" w:cs="Calibri"/>
          <w:color w:val="000000"/>
          <w:lang w:eastAsia="en-CA"/>
        </w:rPr>
        <w:t xml:space="preserve"> next following the approval of that exception</w:t>
      </w:r>
      <w:r w:rsidRPr="00EB21B1">
        <w:rPr>
          <w:rFonts w:ascii="Calibri" w:eastAsia="Calibri" w:hAnsi="Calibri" w:cs="Calibri"/>
          <w:color w:val="000000"/>
          <w:lang w:eastAsia="en-CA"/>
        </w:rPr>
        <w:t>.</w:t>
      </w:r>
    </w:p>
    <w:sectPr w:rsidR="00EB21B1" w:rsidSect="00F165DA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DC14" w14:textId="77777777" w:rsidR="00842D3A" w:rsidRDefault="00842D3A" w:rsidP="00F165DA">
      <w:pPr>
        <w:spacing w:after="0" w:line="240" w:lineRule="auto"/>
      </w:pPr>
      <w:r>
        <w:separator/>
      </w:r>
    </w:p>
  </w:endnote>
  <w:endnote w:type="continuationSeparator" w:id="0">
    <w:p w14:paraId="1F4FA465" w14:textId="77777777" w:rsidR="00842D3A" w:rsidRDefault="00842D3A" w:rsidP="00F1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38AF" w14:textId="1E6CD767" w:rsidR="00F165DA" w:rsidRPr="00F165DA" w:rsidRDefault="00F165DA" w:rsidP="00F16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2AE1" w14:textId="35D108CE" w:rsidR="00F165DA" w:rsidRPr="00F254E7" w:rsidRDefault="00F165DA" w:rsidP="00F165DA">
    <w:pPr>
      <w:tabs>
        <w:tab w:val="center" w:pos="4820"/>
        <w:tab w:val="right" w:pos="10065"/>
      </w:tabs>
      <w:rPr>
        <w:lang w:eastAsia="x-none"/>
      </w:rPr>
    </w:pPr>
    <w:r>
      <w:rPr>
        <w:rFonts w:asciiTheme="majorHAnsi" w:hAnsiTheme="majorHAnsi" w:cstheme="majorHAnsi"/>
        <w:sz w:val="16"/>
        <w:szCs w:val="16"/>
        <w:lang w:eastAsia="x-none"/>
      </w:rPr>
      <w:t>Appeal Policy</w:t>
    </w:r>
    <w:r w:rsidRPr="00F254E7">
      <w:rPr>
        <w:rFonts w:asciiTheme="majorHAnsi" w:hAnsiTheme="majorHAnsi" w:cstheme="majorHAnsi"/>
        <w:sz w:val="16"/>
        <w:szCs w:val="16"/>
        <w:lang w:val="en-US" w:eastAsia="x-none"/>
      </w:rPr>
      <w:tab/>
    </w:r>
    <w:r w:rsidR="00E1023E">
      <w:rPr>
        <w:rFonts w:asciiTheme="majorHAnsi" w:hAnsiTheme="majorHAnsi" w:cstheme="majorHAnsi"/>
        <w:sz w:val="16"/>
        <w:szCs w:val="16"/>
        <w:lang w:val="en-US" w:eastAsia="x-none"/>
      </w:rPr>
      <w:t>December</w:t>
    </w:r>
    <w:r w:rsidR="00E1023E" w:rsidRPr="00F254E7">
      <w:rPr>
        <w:rFonts w:asciiTheme="majorHAnsi" w:hAnsiTheme="majorHAnsi" w:cstheme="majorHAnsi"/>
        <w:sz w:val="16"/>
        <w:szCs w:val="16"/>
        <w:lang w:val="en-US" w:eastAsia="x-none"/>
      </w:rPr>
      <w:t xml:space="preserve"> </w:t>
    </w:r>
    <w:r w:rsidRPr="00F254E7">
      <w:rPr>
        <w:rFonts w:asciiTheme="majorHAnsi" w:hAnsiTheme="majorHAnsi" w:cstheme="majorHAnsi"/>
        <w:sz w:val="16"/>
        <w:szCs w:val="16"/>
        <w:lang w:val="en-US" w:eastAsia="x-none"/>
      </w:rPr>
      <w:t>2021</w:t>
    </w:r>
    <w:r w:rsidRPr="00F254E7">
      <w:rPr>
        <w:rFonts w:asciiTheme="majorHAnsi" w:hAnsiTheme="majorHAnsi" w:cstheme="majorHAnsi"/>
        <w:sz w:val="16"/>
        <w:szCs w:val="16"/>
        <w:lang w:val="en-US" w:eastAsia="x-none"/>
      </w:rPr>
      <w:tab/>
    </w:r>
    <w:r w:rsidRPr="00F254E7">
      <w:rPr>
        <w:rFonts w:asciiTheme="majorHAnsi" w:hAnsiTheme="majorHAnsi" w:cstheme="majorHAnsi"/>
        <w:sz w:val="16"/>
        <w:szCs w:val="16"/>
        <w:lang w:eastAsia="x-none"/>
      </w:rPr>
      <w:fldChar w:fldCharType="begin"/>
    </w:r>
    <w:r w:rsidRPr="00F254E7">
      <w:rPr>
        <w:rFonts w:asciiTheme="majorHAnsi" w:hAnsiTheme="majorHAnsi" w:cstheme="majorHAnsi"/>
        <w:sz w:val="16"/>
        <w:szCs w:val="16"/>
        <w:lang w:eastAsia="x-none"/>
      </w:rPr>
      <w:instrText xml:space="preserve"> PAGE   \* MERGEFORMAT </w:instrText>
    </w:r>
    <w:r w:rsidRPr="00F254E7">
      <w:rPr>
        <w:rFonts w:asciiTheme="majorHAnsi" w:hAnsiTheme="majorHAnsi" w:cstheme="majorHAnsi"/>
        <w:sz w:val="16"/>
        <w:szCs w:val="16"/>
        <w:lang w:eastAsia="x-none"/>
      </w:rPr>
      <w:fldChar w:fldCharType="separate"/>
    </w:r>
    <w:r>
      <w:rPr>
        <w:rFonts w:asciiTheme="majorHAnsi" w:hAnsiTheme="majorHAnsi" w:cstheme="majorHAnsi"/>
        <w:sz w:val="16"/>
        <w:szCs w:val="16"/>
        <w:lang w:eastAsia="x-none"/>
      </w:rPr>
      <w:t>3</w:t>
    </w:r>
    <w:r w:rsidRPr="00F254E7">
      <w:rPr>
        <w:rFonts w:asciiTheme="majorHAnsi" w:hAnsiTheme="majorHAnsi" w:cstheme="majorHAnsi"/>
        <w:sz w:val="16"/>
        <w:szCs w:val="16"/>
        <w:lang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731D" w14:textId="77777777" w:rsidR="00842D3A" w:rsidRDefault="00842D3A" w:rsidP="00F165DA">
      <w:pPr>
        <w:spacing w:after="0" w:line="240" w:lineRule="auto"/>
      </w:pPr>
      <w:r>
        <w:separator/>
      </w:r>
    </w:p>
  </w:footnote>
  <w:footnote w:type="continuationSeparator" w:id="0">
    <w:p w14:paraId="136392BB" w14:textId="77777777" w:rsidR="00842D3A" w:rsidRDefault="00842D3A" w:rsidP="00F1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1B8C" w14:textId="77777777" w:rsidR="00A93246" w:rsidRDefault="00842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F951" w14:textId="74BAD7AD" w:rsidR="00F165DA" w:rsidRDefault="00F165DA">
    <w:pPr>
      <w:pStyle w:val="Header"/>
    </w:pPr>
    <w:r>
      <w:rPr>
        <w:noProof/>
      </w:rPr>
      <w:drawing>
        <wp:inline distT="0" distB="0" distL="0" distR="0" wp14:anchorId="3E8F1CAC" wp14:editId="134BCECD">
          <wp:extent cx="619125" cy="5232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609" cy="53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0EBF4" w14:textId="77777777" w:rsidR="00F165DA" w:rsidRDefault="00F16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D66"/>
    <w:multiLevelType w:val="hybridMultilevel"/>
    <w:tmpl w:val="054A4948"/>
    <w:styleLink w:val="ImportedStyle11"/>
    <w:lvl w:ilvl="0" w:tplc="CA1871E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F622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90539E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6A74F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E4D4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8C42B2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D40F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2A2E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EE4762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1A40EC"/>
    <w:multiLevelType w:val="hybridMultilevel"/>
    <w:tmpl w:val="C93EDDBA"/>
    <w:lvl w:ilvl="0" w:tplc="D382AA38">
      <w:start w:val="1"/>
      <w:numFmt w:val="decimal"/>
      <w:lvlText w:val="%1."/>
      <w:lvlJc w:val="left"/>
      <w:pPr>
        <w:ind w:left="36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47C"/>
    <w:multiLevelType w:val="hybridMultilevel"/>
    <w:tmpl w:val="6602BF5E"/>
    <w:lvl w:ilvl="0" w:tplc="426482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7D50"/>
    <w:multiLevelType w:val="hybridMultilevel"/>
    <w:tmpl w:val="5DB69F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4B30"/>
    <w:multiLevelType w:val="hybridMultilevel"/>
    <w:tmpl w:val="7D3CE89C"/>
    <w:lvl w:ilvl="0" w:tplc="0409000F">
      <w:start w:val="1"/>
      <w:numFmt w:val="decimal"/>
      <w:lvlText w:val="%1."/>
      <w:lvlJc w:val="left"/>
      <w:pPr>
        <w:ind w:left="376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93C68"/>
    <w:multiLevelType w:val="hybridMultilevel"/>
    <w:tmpl w:val="6616C0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E29DF"/>
    <w:multiLevelType w:val="hybridMultilevel"/>
    <w:tmpl w:val="18A4A8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4BDB"/>
    <w:multiLevelType w:val="hybridMultilevel"/>
    <w:tmpl w:val="E092D0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3196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77A0"/>
    <w:multiLevelType w:val="hybridMultilevel"/>
    <w:tmpl w:val="5DB69F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55775"/>
    <w:multiLevelType w:val="hybridMultilevel"/>
    <w:tmpl w:val="80188B84"/>
    <w:lvl w:ilvl="0" w:tplc="B082F39E">
      <w:start w:val="1"/>
      <w:numFmt w:val="decimal"/>
      <w:lvlText w:val="%1."/>
      <w:lvlJc w:val="left"/>
      <w:pPr>
        <w:ind w:left="502" w:hanging="360"/>
      </w:pPr>
      <w:rPr>
        <w:b w:val="0"/>
        <w:bCs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82C5D"/>
    <w:multiLevelType w:val="hybridMultilevel"/>
    <w:tmpl w:val="F5A8CC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F3563"/>
    <w:multiLevelType w:val="hybridMultilevel"/>
    <w:tmpl w:val="14DC9E10"/>
    <w:lvl w:ilvl="0" w:tplc="DFDEC9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100C"/>
    <w:multiLevelType w:val="hybridMultilevel"/>
    <w:tmpl w:val="BEF8DD8A"/>
    <w:lvl w:ilvl="0" w:tplc="7F1A7588">
      <w:start w:val="8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648202">
      <w:start w:val="1"/>
      <w:numFmt w:val="lowerLetter"/>
      <w:lvlText w:val="%2)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C8B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8E06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B69CB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0628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293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B856D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6859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D417A3"/>
    <w:multiLevelType w:val="hybridMultilevel"/>
    <w:tmpl w:val="FF3C5522"/>
    <w:lvl w:ilvl="0" w:tplc="426482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01E29"/>
    <w:multiLevelType w:val="hybridMultilevel"/>
    <w:tmpl w:val="74347380"/>
    <w:lvl w:ilvl="0" w:tplc="874273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93EA3"/>
    <w:multiLevelType w:val="hybridMultilevel"/>
    <w:tmpl w:val="054A4948"/>
    <w:numStyleLink w:val="ImportedStyle11"/>
  </w:abstractNum>
  <w:abstractNum w:abstractNumId="16" w15:restartNumberingAfterBreak="0">
    <w:nsid w:val="447C0F54"/>
    <w:multiLevelType w:val="multilevel"/>
    <w:tmpl w:val="70980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34D13"/>
    <w:multiLevelType w:val="hybridMultilevel"/>
    <w:tmpl w:val="54BC2A2C"/>
    <w:lvl w:ilvl="0" w:tplc="227C76D0">
      <w:start w:val="10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BCDF46">
      <w:start w:val="1"/>
      <w:numFmt w:val="lowerLetter"/>
      <w:lvlText w:val="%2)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0CD2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7ED7D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CAB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20EA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EE9D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B487F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F4DB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3E2FDB"/>
    <w:multiLevelType w:val="hybridMultilevel"/>
    <w:tmpl w:val="BC48CE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3196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844F4"/>
    <w:multiLevelType w:val="hybridMultilevel"/>
    <w:tmpl w:val="0F2C6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56D62"/>
    <w:multiLevelType w:val="hybridMultilevel"/>
    <w:tmpl w:val="2104E740"/>
    <w:lvl w:ilvl="0" w:tplc="426482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21A669D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410C0"/>
    <w:multiLevelType w:val="hybridMultilevel"/>
    <w:tmpl w:val="AB14D0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964D5"/>
    <w:multiLevelType w:val="hybridMultilevel"/>
    <w:tmpl w:val="053E9F9A"/>
    <w:lvl w:ilvl="0" w:tplc="8E3AC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D5F06"/>
    <w:multiLevelType w:val="hybridMultilevel"/>
    <w:tmpl w:val="7AB629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81C59"/>
    <w:multiLevelType w:val="hybridMultilevel"/>
    <w:tmpl w:val="71AC2BCA"/>
    <w:lvl w:ilvl="0" w:tplc="426482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45233"/>
    <w:multiLevelType w:val="hybridMultilevel"/>
    <w:tmpl w:val="4A80896C"/>
    <w:lvl w:ilvl="0" w:tplc="D382AA38">
      <w:start w:val="1"/>
      <w:numFmt w:val="decimal"/>
      <w:lvlText w:val="%1."/>
      <w:lvlJc w:val="left"/>
      <w:pPr>
        <w:ind w:left="36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6094D"/>
    <w:multiLevelType w:val="hybridMultilevel"/>
    <w:tmpl w:val="734213C6"/>
    <w:lvl w:ilvl="0" w:tplc="F0E87F52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22D1A"/>
    <w:multiLevelType w:val="hybridMultilevel"/>
    <w:tmpl w:val="CAB65164"/>
    <w:lvl w:ilvl="0" w:tplc="C5E220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C2CD6"/>
    <w:multiLevelType w:val="hybridMultilevel"/>
    <w:tmpl w:val="8208D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E255E"/>
    <w:multiLevelType w:val="hybridMultilevel"/>
    <w:tmpl w:val="74347380"/>
    <w:lvl w:ilvl="0" w:tplc="874273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35992"/>
    <w:multiLevelType w:val="hybridMultilevel"/>
    <w:tmpl w:val="F37A5ACA"/>
    <w:lvl w:ilvl="0" w:tplc="75DA87A6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21A669D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02A44"/>
    <w:multiLevelType w:val="hybridMultilevel"/>
    <w:tmpl w:val="3C64581C"/>
    <w:lvl w:ilvl="0" w:tplc="D3F873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91B44"/>
    <w:multiLevelType w:val="hybridMultilevel"/>
    <w:tmpl w:val="642666FC"/>
    <w:lvl w:ilvl="0" w:tplc="50A8BC92">
      <w:start w:val="6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4CB4A">
      <w:start w:val="1"/>
      <w:numFmt w:val="lowerLetter"/>
      <w:lvlText w:val="%2)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3C4968">
      <w:start w:val="1"/>
      <w:numFmt w:val="lowerRoman"/>
      <w:lvlText w:val="%3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23382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2D032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ADDC8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C23DA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AD264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CF324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DF08B3"/>
    <w:multiLevelType w:val="hybridMultilevel"/>
    <w:tmpl w:val="D1FA21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319AE"/>
    <w:multiLevelType w:val="hybridMultilevel"/>
    <w:tmpl w:val="CF522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13BA1"/>
    <w:multiLevelType w:val="hybridMultilevel"/>
    <w:tmpl w:val="89E81930"/>
    <w:lvl w:ilvl="0" w:tplc="7044670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8"/>
  </w:num>
  <w:num w:numId="4">
    <w:abstractNumId w:val="5"/>
  </w:num>
  <w:num w:numId="5">
    <w:abstractNumId w:val="30"/>
  </w:num>
  <w:num w:numId="6">
    <w:abstractNumId w:val="11"/>
  </w:num>
  <w:num w:numId="7">
    <w:abstractNumId w:val="14"/>
  </w:num>
  <w:num w:numId="8">
    <w:abstractNumId w:val="7"/>
  </w:num>
  <w:num w:numId="9">
    <w:abstractNumId w:val="10"/>
  </w:num>
  <w:num w:numId="10">
    <w:abstractNumId w:val="32"/>
  </w:num>
  <w:num w:numId="11">
    <w:abstractNumId w:val="12"/>
  </w:num>
  <w:num w:numId="12">
    <w:abstractNumId w:val="17"/>
  </w:num>
  <w:num w:numId="13">
    <w:abstractNumId w:val="33"/>
  </w:num>
  <w:num w:numId="14">
    <w:abstractNumId w:val="25"/>
  </w:num>
  <w:num w:numId="15">
    <w:abstractNumId w:val="9"/>
  </w:num>
  <w:num w:numId="16">
    <w:abstractNumId w:val="19"/>
  </w:num>
  <w:num w:numId="17">
    <w:abstractNumId w:val="34"/>
  </w:num>
  <w:num w:numId="18">
    <w:abstractNumId w:val="15"/>
    <w:lvlOverride w:ilvl="0">
      <w:lvl w:ilvl="0" w:tplc="D9C604D0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EAD223A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4260C010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E1E817A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F6C8158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8C8EAE92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B57CFB7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90E05F6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5134BF88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9">
    <w:abstractNumId w:val="3"/>
  </w:num>
  <w:num w:numId="20">
    <w:abstractNumId w:val="20"/>
  </w:num>
  <w:num w:numId="21">
    <w:abstractNumId w:val="31"/>
  </w:num>
  <w:num w:numId="22">
    <w:abstractNumId w:val="23"/>
  </w:num>
  <w:num w:numId="23">
    <w:abstractNumId w:val="27"/>
  </w:num>
  <w:num w:numId="24">
    <w:abstractNumId w:val="24"/>
  </w:num>
  <w:num w:numId="25">
    <w:abstractNumId w:val="22"/>
  </w:num>
  <w:num w:numId="26">
    <w:abstractNumId w:val="2"/>
  </w:num>
  <w:num w:numId="27">
    <w:abstractNumId w:val="35"/>
  </w:num>
  <w:num w:numId="28">
    <w:abstractNumId w:val="13"/>
  </w:num>
  <w:num w:numId="29">
    <w:abstractNumId w:val="29"/>
  </w:num>
  <w:num w:numId="30">
    <w:abstractNumId w:val="1"/>
  </w:num>
  <w:num w:numId="31">
    <w:abstractNumId w:val="16"/>
  </w:num>
  <w:num w:numId="32">
    <w:abstractNumId w:val="8"/>
  </w:num>
  <w:num w:numId="33">
    <w:abstractNumId w:val="6"/>
  </w:num>
  <w:num w:numId="34">
    <w:abstractNumId w:val="18"/>
  </w:num>
  <w:num w:numId="35">
    <w:abstractNumId w:val="2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B1"/>
    <w:rsid w:val="00043835"/>
    <w:rsid w:val="00090F0C"/>
    <w:rsid w:val="000B343F"/>
    <w:rsid w:val="000E3FBA"/>
    <w:rsid w:val="00104C85"/>
    <w:rsid w:val="001A0D43"/>
    <w:rsid w:val="001D0D0C"/>
    <w:rsid w:val="00255DA2"/>
    <w:rsid w:val="00275406"/>
    <w:rsid w:val="002B633C"/>
    <w:rsid w:val="00327AB6"/>
    <w:rsid w:val="0036244C"/>
    <w:rsid w:val="00426DFC"/>
    <w:rsid w:val="00426E44"/>
    <w:rsid w:val="0044506C"/>
    <w:rsid w:val="0047316F"/>
    <w:rsid w:val="004C1E12"/>
    <w:rsid w:val="004F37E3"/>
    <w:rsid w:val="00505AF5"/>
    <w:rsid w:val="00582168"/>
    <w:rsid w:val="005916E5"/>
    <w:rsid w:val="00672C9B"/>
    <w:rsid w:val="006F2E4B"/>
    <w:rsid w:val="00722237"/>
    <w:rsid w:val="00723DF1"/>
    <w:rsid w:val="00774EE3"/>
    <w:rsid w:val="0078279A"/>
    <w:rsid w:val="00797962"/>
    <w:rsid w:val="0081796C"/>
    <w:rsid w:val="00842D3A"/>
    <w:rsid w:val="008A0ED1"/>
    <w:rsid w:val="008D7579"/>
    <w:rsid w:val="008F3469"/>
    <w:rsid w:val="0093088E"/>
    <w:rsid w:val="00955744"/>
    <w:rsid w:val="009E1475"/>
    <w:rsid w:val="00AB7A45"/>
    <w:rsid w:val="00AE6B54"/>
    <w:rsid w:val="00B1699A"/>
    <w:rsid w:val="00B323FB"/>
    <w:rsid w:val="00BE6634"/>
    <w:rsid w:val="00C869DE"/>
    <w:rsid w:val="00CF35AD"/>
    <w:rsid w:val="00D41851"/>
    <w:rsid w:val="00D47200"/>
    <w:rsid w:val="00DF7DE1"/>
    <w:rsid w:val="00E1023E"/>
    <w:rsid w:val="00E129C7"/>
    <w:rsid w:val="00E976BE"/>
    <w:rsid w:val="00EB21B1"/>
    <w:rsid w:val="00EF2029"/>
    <w:rsid w:val="00EF59BC"/>
    <w:rsid w:val="00F165DA"/>
    <w:rsid w:val="00F2159E"/>
    <w:rsid w:val="00F62237"/>
    <w:rsid w:val="00F822EB"/>
    <w:rsid w:val="00F975B9"/>
    <w:rsid w:val="00FA686E"/>
    <w:rsid w:val="00FB6A1F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435C"/>
  <w15:chartTrackingRefBased/>
  <w15:docId w15:val="{73CD4017-3181-49D2-9CFF-267D6209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1">
    <w:name w:val="Imported Style 11"/>
    <w:rsid w:val="00EB21B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EB21B1"/>
    <w:pPr>
      <w:tabs>
        <w:tab w:val="center" w:pos="4680"/>
        <w:tab w:val="right" w:pos="9360"/>
      </w:tabs>
      <w:spacing w:after="0" w:line="240" w:lineRule="auto"/>
      <w:contextualSpacing/>
    </w:pPr>
    <w:rPr>
      <w:rFonts w:ascii="Calibri" w:eastAsia="Calibri" w:hAnsi="Calibri" w:cs="Times New Roman"/>
      <w:sz w:val="24"/>
      <w:lang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EB21B1"/>
    <w:rPr>
      <w:rFonts w:ascii="Calibri" w:eastAsia="Calibri" w:hAnsi="Calibri" w:cs="Times New Roman"/>
      <w:sz w:val="24"/>
      <w:lang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EB21B1"/>
    <w:pPr>
      <w:tabs>
        <w:tab w:val="center" w:pos="4680"/>
        <w:tab w:val="right" w:pos="9360"/>
      </w:tabs>
      <w:spacing w:after="0" w:line="240" w:lineRule="auto"/>
      <w:contextualSpacing/>
    </w:pPr>
    <w:rPr>
      <w:rFonts w:ascii="Calibri" w:eastAsia="Calibri" w:hAnsi="Calibri" w:cs="Times New Roman"/>
      <w:sz w:val="24"/>
      <w:lang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EB21B1"/>
    <w:rPr>
      <w:rFonts w:ascii="Calibri" w:eastAsia="Calibri" w:hAnsi="Calibri" w:cs="Times New Roman"/>
      <w:sz w:val="24"/>
      <w:lang w:eastAsia="x-none" w:bidi="en-US"/>
    </w:rPr>
  </w:style>
  <w:style w:type="table" w:styleId="TableGrid">
    <w:name w:val="Table Grid"/>
    <w:basedOn w:val="TableNormal"/>
    <w:uiPriority w:val="59"/>
    <w:rsid w:val="00EB21B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7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7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2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0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Rich</dc:creator>
  <cp:keywords/>
  <dc:description/>
  <cp:lastModifiedBy>K. Rich</cp:lastModifiedBy>
  <cp:revision>2</cp:revision>
  <cp:lastPrinted>2021-10-18T21:02:00Z</cp:lastPrinted>
  <dcterms:created xsi:type="dcterms:W3CDTF">2021-12-15T18:09:00Z</dcterms:created>
  <dcterms:modified xsi:type="dcterms:W3CDTF">2021-12-15T18:09:00Z</dcterms:modified>
</cp:coreProperties>
</file>